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91"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41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10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001-41562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NewAmsterdam Pharma Company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18"/>
        </w:trPr>
        <w:tc>
          <w:tcPr>
            <w:tcW w:w="414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rPr>
              <w:t>The Netherlands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42"/>
        </w:trPr>
        <w:tc>
          <w:tcPr>
            <w:tcW w:w="4140" w:type="dxa"/>
            <w:vAlign w:val="bottom"/>
          </w:tcPr>
          <w:p>
            <w:pPr>
              <w:jc w:val="center"/>
              <w:ind w:right="1962"/>
              <w:spacing w:after="0" w:line="142" w:lineRule="exact"/>
              <w:rPr>
                <w:sz w:val="20"/>
                <w:szCs w:val="20"/>
                <w:color w:val="auto"/>
              </w:rPr>
            </w:pPr>
            <w:r>
              <w:rPr>
                <w:rFonts w:ascii="Times New Roman" w:cs="Times New Roman" w:eastAsia="Times New Roman" w:hAnsi="Times New Roman"/>
                <w:sz w:val="13"/>
                <w:szCs w:val="13"/>
                <w:b w:val="1"/>
                <w:bCs w:val="1"/>
                <w:color w:val="auto"/>
                <w:w w:val="97"/>
              </w:rPr>
              <w:t>( State or other jurisdiction of</w:t>
            </w:r>
          </w:p>
        </w:tc>
        <w:tc>
          <w:tcPr>
            <w:tcW w:w="3020" w:type="dxa"/>
            <w:vAlign w:val="bottom"/>
          </w:tcPr>
          <w:p>
            <w:pPr>
              <w:jc w:val="center"/>
              <w:ind w:left="196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40"/>
        </w:trPr>
        <w:tc>
          <w:tcPr>
            <w:tcW w:w="4140" w:type="dxa"/>
            <w:vAlign w:val="bottom"/>
          </w:tcPr>
          <w:p>
            <w:pPr>
              <w:jc w:val="center"/>
              <w:ind w:right="1962"/>
              <w:spacing w:after="0" w:line="140"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020" w:type="dxa"/>
            <w:vAlign w:val="bottom"/>
          </w:tcPr>
          <w:p>
            <w:pPr>
              <w:jc w:val="center"/>
              <w:ind w:left="1966"/>
              <w:spacing w:after="0" w:line="140"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14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rPr>
              <w:t>Gooimeer 2-35</w:t>
            </w:r>
          </w:p>
        </w:tc>
        <w:tc>
          <w:tcPr>
            <w:tcW w:w="3020" w:type="dxa"/>
            <w:vAlign w:val="bottom"/>
          </w:tcPr>
          <w:p>
            <w:pPr>
              <w:spacing w:after="0"/>
              <w:rPr>
                <w:sz w:val="19"/>
                <w:szCs w:val="19"/>
                <w:color w:val="auto"/>
              </w:rPr>
            </w:pPr>
          </w:p>
        </w:tc>
      </w:tr>
      <w:tr>
        <w:trPr>
          <w:trHeight w:val="230"/>
        </w:trPr>
        <w:tc>
          <w:tcPr>
            <w:tcW w:w="414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w w:val="98"/>
              </w:rPr>
              <w:t>Naarden</w:t>
            </w:r>
          </w:p>
        </w:tc>
        <w:tc>
          <w:tcPr>
            <w:tcW w:w="3020" w:type="dxa"/>
            <w:vAlign w:val="bottom"/>
          </w:tcPr>
          <w:p>
            <w:pPr>
              <w:spacing w:after="0"/>
              <w:rPr>
                <w:sz w:val="19"/>
                <w:szCs w:val="19"/>
                <w:color w:val="auto"/>
              </w:rPr>
            </w:pPr>
          </w:p>
        </w:tc>
      </w:tr>
      <w:tr>
        <w:trPr>
          <w:trHeight w:val="232"/>
        </w:trPr>
        <w:tc>
          <w:tcPr>
            <w:tcW w:w="4140" w:type="dxa"/>
            <w:vAlign w:val="bottom"/>
          </w:tcPr>
          <w:p>
            <w:pPr>
              <w:jc w:val="center"/>
              <w:ind w:right="1962"/>
              <w:spacing w:after="0"/>
              <w:rPr>
                <w:sz w:val="20"/>
                <w:szCs w:val="20"/>
                <w:color w:val="auto"/>
              </w:rPr>
            </w:pPr>
            <w:r>
              <w:rPr>
                <w:rFonts w:ascii="Times New Roman" w:cs="Times New Roman" w:eastAsia="Times New Roman" w:hAnsi="Times New Roman"/>
                <w:sz w:val="18"/>
                <w:szCs w:val="18"/>
                <w:b w:val="1"/>
                <w:bCs w:val="1"/>
                <w:color w:val="auto"/>
              </w:rPr>
              <w:t>The Netherlands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8"/>
                <w:szCs w:val="18"/>
                <w:b w:val="1"/>
                <w:bCs w:val="1"/>
                <w:color w:val="auto"/>
                <w:w w:val="99"/>
              </w:rPr>
              <w:t>1411 DC</w:t>
            </w:r>
          </w:p>
        </w:tc>
      </w:tr>
      <w:tr>
        <w:trPr>
          <w:trHeight w:val="166"/>
        </w:trPr>
        <w:tc>
          <w:tcPr>
            <w:tcW w:w="4140" w:type="dxa"/>
            <w:vAlign w:val="bottom"/>
          </w:tcPr>
          <w:p>
            <w:pPr>
              <w:jc w:val="center"/>
              <w:ind w:right="1962"/>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3020" w:type="dxa"/>
            <w:vAlign w:val="bottom"/>
          </w:tcPr>
          <w:p>
            <w:pPr>
              <w:jc w:val="center"/>
              <w:ind w:left="19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 (0) 35 206 2971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Ordinary Shares, nominal value €0.12 per share</w:t>
            </w:r>
          </w:p>
        </w:tc>
        <w:tc>
          <w:tcPr>
            <w:tcW w:w="120" w:type="dxa"/>
            <w:vAlign w:val="bottom"/>
          </w:tcPr>
          <w:p>
            <w:pPr>
              <w:spacing w:after="0"/>
              <w:rPr>
                <w:sz w:val="15"/>
                <w:szCs w:val="15"/>
                <w:color w:val="auto"/>
              </w:rPr>
            </w:pPr>
          </w:p>
        </w:tc>
        <w:tc>
          <w:tcPr>
            <w:tcW w:w="16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NAMS</w:t>
            </w:r>
          </w:p>
        </w:tc>
        <w:tc>
          <w:tcPr>
            <w:tcW w:w="120" w:type="dxa"/>
            <w:vAlign w:val="bottom"/>
          </w:tcPr>
          <w:p>
            <w:pPr>
              <w:spacing w:after="0"/>
              <w:rPr>
                <w:sz w:val="15"/>
                <w:szCs w:val="15"/>
                <w:color w:val="auto"/>
              </w:rPr>
            </w:pPr>
          </w:p>
        </w:tc>
        <w:tc>
          <w:tcPr>
            <w:tcW w:w="50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Warrants to purchase Ordinary Shares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NAMSW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60"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29, 2026, the registrant had 116,903,979 ordinary shares, nominal value €0.12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0" w:lineRule="exact"/>
        <w:rPr>
          <w:sz w:val="20"/>
          <w:szCs w:val="20"/>
          <w:color w:val="auto"/>
        </w:rPr>
      </w:pPr>
    </w:p>
    <w:p>
      <w:pPr>
        <w:spacing w:after="0" w:line="241"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references to “we,” “our,” “us” or the “Company” refer to NewAmsterdam Pharma Company N.V., together with its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(“Quarterly Report”) contains forward-looking statements. Forward-looking statements provide the Company’s current expectations or forecasts of future events. Forward-looking statements include statements about the Company’s expectations, beliefs, plans, objectives, intentions, assumptions and other statements that are not historical facts.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Quarterly Report include, but are not limited to, statements regarding the Company’s future operations, cash flows, financial position, dividend policy, prospects, strategies, objectives and other future events.</w:t>
      </w:r>
    </w:p>
    <w:p>
      <w:pPr>
        <w:spacing w:after="0" w:line="81" w:lineRule="exact"/>
        <w:rPr>
          <w:sz w:val="20"/>
          <w:szCs w:val="20"/>
          <w:color w:val="auto"/>
        </w:rPr>
      </w:pPr>
    </w:p>
    <w:p>
      <w:pPr>
        <w:ind w:right="560" w:firstLine="469"/>
        <w:spacing w:after="0" w:line="282" w:lineRule="auto"/>
        <w:rPr>
          <w:sz w:val="20"/>
          <w:szCs w:val="20"/>
          <w:color w:val="auto"/>
        </w:rPr>
      </w:pPr>
      <w:r>
        <w:rPr>
          <w:rFonts w:ascii="Times New Roman" w:cs="Times New Roman" w:eastAsia="Times New Roman" w:hAnsi="Times New Roman"/>
          <w:sz w:val="18"/>
          <w:szCs w:val="18"/>
          <w:color w:val="auto"/>
        </w:rPr>
        <w:t>Forward-looking statements in this Quarterly Report and in any document incorporated by reference in this Quarterly Report may include, for example, statements about:</w:t>
      </w:r>
    </w:p>
    <w:p>
      <w:pPr>
        <w:spacing w:after="0" w:line="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liquidity and trading of the Company’s public securities;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in sufficient amounts or on terms acceptable to it;</w:t>
      </w:r>
    </w:p>
    <w:p>
      <w:pPr>
        <w:spacing w:after="0" w:line="117" w:lineRule="exact"/>
        <w:rPr>
          <w:rFonts w:ascii="Times New Roman" w:cs="Times New Roman" w:eastAsia="Times New Roman" w:hAnsi="Times New Roman"/>
          <w:sz w:val="18"/>
          <w:szCs w:val="18"/>
          <w:color w:val="auto"/>
        </w:rPr>
      </w:pPr>
    </w:p>
    <w:p>
      <w:pPr>
        <w:ind w:left="760" w:right="52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Company’s product candidates, obicetrapib as a monotherapy and as a fixed-dose combination therapy with ezetimibe, as well as potential regulatory approvals and product launches, potential reimbursement and anticipated market size and market opportunity;</w:t>
      </w:r>
    </w:p>
    <w:p>
      <w:pPr>
        <w:spacing w:after="0" w:line="6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dependence on the success of obicetrapib as a monotherapy and as a fixed-dose combination therapy with ezetimibe, including the obtaining of regulatory approval of such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for the Company's product candidates, including statements regarding the timing of initiation and completion of studies or trials, related preparatory work and any interim analyses, as well as statements regarding the time at which results of trials or interim analyses will become available and marketing submissions made;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attract and retain senior management and key scientific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limited experience in marketing or distributing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manage the risks related to the Company’s international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the broad degree of physician adoption and use and market acceptance necessary for commercial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developments regarding the Company’s competitors and the Company’s industry;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government laws and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reliance on third parties for all aspects of the manufacturing of the Company’s product candidates for clinical trials;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efforts to obtain, protect or enforce its patents and other intellectual property rights related to the Company’s product candidates.</w:t>
      </w:r>
    </w:p>
    <w:p>
      <w:pPr>
        <w:spacing w:after="0" w:line="117" w:lineRule="exact"/>
        <w:rPr>
          <w:sz w:val="20"/>
          <w:szCs w:val="20"/>
          <w:color w:val="auto"/>
        </w:rPr>
      </w:pPr>
    </w:p>
    <w:p>
      <w:pPr>
        <w:ind w:right="40" w:firstLine="469"/>
        <w:spacing w:after="0" w:line="254"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Quarterly Report and in our Annual Report on Form 10-K for the year ended December 31, 2025, filed with the U.S. Securities and Exchange Commission (“SEC”) on February 18, 2026. Accordingly, you should not place undue reliance on these forward-looking statements, which speak only as of the date of this Quarterly Report. The Company undertakes no obligation to publicly revise any forward-looking statement to reflect circumstances or events after the date of this Quarterly Report or to reflect the occurrence of unanticipated events, except as specifically required by law. You should, however, review the factors and risks that the Company describes in the reports it files from time to time with the SEC.</w:t>
      </w:r>
    </w:p>
    <w:p>
      <w:pPr>
        <w:spacing w:after="0" w:line="84" w:lineRule="exact"/>
        <w:rPr>
          <w:sz w:val="20"/>
          <w:szCs w:val="20"/>
          <w:color w:val="auto"/>
        </w:rPr>
      </w:pPr>
    </w:p>
    <w:p>
      <w:pPr>
        <w:ind w:right="60" w:firstLine="469"/>
        <w:spacing w:after="0" w:line="254"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the Company’s beliefs and opinions on the relevant subject. These statements are based on information available to the Company as of the date of this Quarterly Report. And while the Company believes that information provides a reasonable basis for these statements, that information may be limited or incomplete. The Company’s statements should not be read to indicate that it has conducted an exhaustive inquiry into, or review of, all relevant information. These statements are inherently uncertain, and you are cautioned not to unduly rely on these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firstLine="469"/>
        <w:spacing w:after="0" w:line="261" w:lineRule="auto"/>
        <w:rPr>
          <w:sz w:val="20"/>
          <w:szCs w:val="20"/>
          <w:color w:val="auto"/>
        </w:rPr>
      </w:pPr>
      <w:r>
        <w:rPr>
          <w:rFonts w:ascii="Times New Roman" w:cs="Times New Roman" w:eastAsia="Times New Roman" w:hAnsi="Times New Roman"/>
          <w:sz w:val="18"/>
          <w:szCs w:val="18"/>
          <w:color w:val="auto"/>
        </w:rPr>
        <w:t>Although the Company believes the expectations reflected in the forward-looking statements were reasonable at the time made, it cannot guarantee future results, level of activity, performance or achievements. You should carefully consider the cautionary statements contained or referred to in this section in connection with the forward-looking statements contained in this Quarterly Report and any subsequent written or oral forward-looking statements that may be issued by the Company or persons acting on its behalf.</w:t>
      </w: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3" w:right="5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15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2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457,607</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178,498</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cash</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658,044</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675,700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Marketable securities, net of current portion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71,239</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 of use asset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Long term prepaid expenses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26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732,643</w:t>
            </w:r>
          </w:p>
        </w:tc>
        <w:tc>
          <w:tcPr>
            <w:tcW w:w="2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50,229</w:t>
            </w: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2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67,421</w:t>
            </w:r>
          </w:p>
        </w:tc>
        <w:tc>
          <w:tcPr>
            <w:tcW w:w="260" w:type="dxa"/>
            <w:vAlign w:val="bottom"/>
            <w:tcBorders>
              <w:top w:val="single" w:sz="8" w:color="CFF0FC"/>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85,853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12)</w:t>
            </w: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Ordinary shares, €0.12 par value; 400,000,000 shares authorized; 116,641,656 and 114,399,326 shares</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2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78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1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82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1,457,238</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loss</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(810,831)</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(762,390)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26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665,222</w:t>
            </w: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732,643</w:t>
            </w:r>
          </w:p>
        </w:tc>
        <w:tc>
          <w:tcPr>
            <w:tcW w:w="2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769,284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-2716530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-2700020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-1302385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-1285240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-1447800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-316865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 w:name="page6"/>
    <w:bookmarkEnd w:id="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NewAmsterdam Pharma Company N.V. Condensed Consolidated Statements of Operations and Comprehensive Loss (Unaudited)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4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 except per share amounts)</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23,451</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61,460</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(58,420)</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(68,925)</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Fair value change – earnout</w:t>
            </w:r>
          </w:p>
        </w:tc>
        <w:tc>
          <w:tcPr>
            <w:tcW w:w="9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Fair value change – warrants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9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(1,613)</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9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(48,441)</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(39,527)</w:t>
            </w:r>
          </w:p>
        </w:tc>
        <w:tc>
          <w:tcPr>
            <w:tcW w:w="0" w:type="dxa"/>
            <w:vAlign w:val="bottom"/>
          </w:tcPr>
          <w:p>
            <w:pPr>
              <w:spacing w:after="0"/>
              <w:rPr>
                <w:sz w:val="1"/>
                <w:szCs w:val="1"/>
                <w:color w:val="auto"/>
              </w:rPr>
            </w:pPr>
          </w:p>
        </w:tc>
      </w:tr>
      <w:tr>
        <w:trPr>
          <w:trHeight w:val="216"/>
        </w:trPr>
        <w:tc>
          <w:tcPr>
            <w:tcW w:w="77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9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(48,441)</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(39,527)</w:t>
            </w: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gain/(loss) on available-for-sale securities, net of tax</w:t>
            </w:r>
          </w:p>
        </w:tc>
        <w:tc>
          <w:tcPr>
            <w:tcW w:w="9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(572)</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 for the year, net of tax</w:t>
            </w:r>
          </w:p>
        </w:tc>
        <w:tc>
          <w:tcPr>
            <w:tcW w:w="9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(49,013)</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(39,560)</w:t>
            </w:r>
          </w:p>
        </w:tc>
        <w:tc>
          <w:tcPr>
            <w:tcW w:w="0" w:type="dxa"/>
            <w:vAlign w:val="bottom"/>
          </w:tcPr>
          <w:p>
            <w:pPr>
              <w:spacing w:after="0"/>
              <w:rPr>
                <w:sz w:val="1"/>
                <w:szCs w:val="1"/>
                <w:color w:val="auto"/>
              </w:rPr>
            </w:pPr>
          </w:p>
        </w:tc>
      </w:tr>
      <w:tr>
        <w:trPr>
          <w:trHeight w:val="209"/>
        </w:trPr>
        <w:tc>
          <w:tcPr>
            <w:tcW w:w="7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(0.40)</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-2875280</wp:posOffset>
            </wp:positionV>
            <wp:extent cx="9398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-2875280</wp:posOffset>
            </wp:positionV>
            <wp:extent cx="9398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-1962150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-1130935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-847725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-281940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2"/>
            <w:vMerge w:val="continue"/>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USD, except share amounts)</w:t>
            </w: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108,064,340</w:t>
            </w:r>
          </w:p>
        </w:tc>
        <w:tc>
          <w:tcPr>
            <w:tcW w:w="2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2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1,298,160</w:t>
            </w:r>
          </w:p>
        </w:tc>
        <w:tc>
          <w:tcPr>
            <w:tcW w:w="2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(558,571)</w:t>
            </w:r>
          </w:p>
        </w:tc>
        <w:tc>
          <w:tcPr>
            <w:tcW w:w="2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2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Issuance of Earnout Shares</w:t>
            </w: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1,743,136</w:t>
            </w:r>
          </w:p>
        </w:tc>
        <w:tc>
          <w:tcPr>
            <w:tcW w:w="11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226</w:t>
            </w:r>
          </w:p>
        </w:tc>
        <w:tc>
          <w:tcPr>
            <w:tcW w:w="1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40,581</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40,807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1,293,938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 of warrants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909,140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Vesting of RSUs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142,795</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loss and comprehensive loss for the period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(39,527)</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(39,560)</w:t>
            </w:r>
          </w:p>
        </w:tc>
        <w:tc>
          <w:tcPr>
            <w:tcW w:w="0" w:type="dxa"/>
            <w:vAlign w:val="bottom"/>
          </w:tcPr>
          <w:p>
            <w:pPr>
              <w:spacing w:after="0"/>
              <w:rPr>
                <w:sz w:val="1"/>
                <w:szCs w:val="1"/>
                <w:color w:val="auto"/>
              </w:rPr>
            </w:pPr>
          </w:p>
        </w:tc>
      </w:tr>
      <w:tr>
        <w:trPr>
          <w:trHeight w:val="20"/>
        </w:trPr>
        <w:tc>
          <w:tcPr>
            <w:tcW w:w="408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March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112,169,291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1,357,059</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(598,098)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114,399,326</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1,426,750</w:t>
            </w: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(762,390)</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80" w:type="dxa"/>
            <w:vAlign w:val="bottom"/>
            <w:tcBorders>
              <w:top w:val="single" w:sz="8" w:color="CFF0FC"/>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Exercise of warrants</w:t>
            </w:r>
          </w:p>
        </w:tc>
        <w:tc>
          <w:tcPr>
            <w:tcW w:w="1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56,619</w:t>
            </w:r>
          </w:p>
        </w:tc>
        <w:tc>
          <w:tcPr>
            <w:tcW w:w="26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1,745</w:t>
            </w:r>
          </w:p>
        </w:tc>
        <w:tc>
          <w:tcPr>
            <w:tcW w:w="26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1,971,548</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10,771</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loss and comprehensive loss for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(48,441)</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(49,013)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March 31, 2026</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116,641,656</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1,457,238</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(810,831)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-1336675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-1336675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-1336675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-1336675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-1336675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-882650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-864870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-882650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-864870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-882650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-864870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-882650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-864870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-882650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-864870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6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10"/>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of USD)</w:t>
            </w:r>
          </w:p>
        </w:tc>
        <w:tc>
          <w:tcPr>
            <w:tcW w:w="16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(48,441)</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(39,527)</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Non-cash adjustments to reconcile loss for the period to net cash flows:</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rent expense</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change - derivative earnout and warrants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(5,942)</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(4,293)</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premium/discount on available-for-sale debt securities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1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prepayments and other receivables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15,219</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(793)</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accrued expenses and other current liabilities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(10,330)</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(4,953)</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deferred revenue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(30,604)</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(36,468)</w:t>
            </w: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plant and equipment, including internal use software</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(62,471)</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(9,629)</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(11,509)</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Transaction costs on December 2024 issue of Ordinary Shares and Pre-Funded Warrants</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10,414</w:t>
            </w:r>
          </w:p>
        </w:tc>
        <w:tc>
          <w:tcPr>
            <w:tcW w:w="2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11,065</w:t>
            </w:r>
          </w:p>
        </w:tc>
        <w:tc>
          <w:tcPr>
            <w:tcW w:w="2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(31,048)</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(27,094)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491,323</w:t>
            </w:r>
          </w:p>
        </w:tc>
        <w:tc>
          <w:tcPr>
            <w:tcW w:w="2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771,743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458,943</w:t>
            </w:r>
          </w:p>
        </w:tc>
        <w:tc>
          <w:tcPr>
            <w:tcW w:w="2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16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earnout shares</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6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 Condensed Consolidated</w:t>
            </w:r>
          </w:p>
        </w:tc>
        <w:tc>
          <w:tcPr>
            <w:tcW w:w="16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457,607</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00" w:type="dxa"/>
            <w:vAlign w:val="bottom"/>
            <w:tcBorders>
              <w:top w:val="single" w:sz="8" w:color="CFF0FC"/>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458,943</w:t>
            </w:r>
          </w:p>
        </w:tc>
        <w:tc>
          <w:tcPr>
            <w:tcW w:w="240" w:type="dxa"/>
            <w:vAlign w:val="bottom"/>
            <w:tcBorders>
              <w:top w:val="single" w:sz="8" w:color="CFF0FC"/>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748,420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5873115</wp:posOffset>
            </wp:positionH>
            <wp:positionV relativeFrom="paragraph">
              <wp:posOffset>-5635625</wp:posOffset>
            </wp:positionV>
            <wp:extent cx="9398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-5635625</wp:posOffset>
            </wp:positionV>
            <wp:extent cx="93980" cy="1797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-3274060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-2425065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-1868170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-1302385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The Company</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NewAmsterdam Pharma Company N.V. (“NewAmsterdam Pharma” or the “Company”) is a late-stage biopharmaceutical company whose mission is to improve patient care in populations with metabolic diseases where currently approved therapies have not been adequate or well-tolerated. The Company was incorporated in the Netherlands as a Dutch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under the name NewAmsterdam Pharma Company B.V. on June 10, 2022. On November 21, 2022, the Company’s corporate form was converted to a Dutch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and its name was changed to NewAmsterdam Pharma Company N.V. The Company’s ordinary shares, nominal value €0.12 per share (the “Ordinary Shares”) are listed on the Nasdaq Global Market (“Nasdaq”) and trade under the symbol “NAMS.”</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September 24, 2025, NewAmsterdam Pharma Holding B.V., a non-operating, wholly-owned subsidiary of the Company, merged with and into NewAmsterdam Pharma Company N.V. On the same date, Frazier Life Sciences Acquisition Corporation, a non-operating, wholly-owned subsidiary of the Company, merged with and into NewAmsterdam Pharma Corporation, a wholly-owned subsidiary of the Company. The transactions represent combinations between entities under common control. NewAmsterdam Pharma Holding B.V. and Frazier Life Sciences Acquisition Corporation had no material operations, and the mergers had no impact on the consolidated financial statements of the Company. As such, no separate pre-combination results are presented.</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biopharmaceutical industry, including, but not limited to, development by competitors of more advanced or effective therapies, dependence on key executives, protection of and dependence on intellectual property, compliance with government regulations and ability to secure additional capital to fund operations. Significant additional research and development efforts and regulatory approval will be required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together with our audited financial statements and accompanying notes for year ended December 31, 2025, included in our Annual Report on Form 10-K (the “Annual Report”), filed with the U.S. Securities and Exchange Commission (the “SEC”) on February 18, 2026. Any terms not defined herein take the meaning as defined in the Annual Report. The Company’s unaudited condensed consolidated financial statements are prepared in accordance with accounting principles generally accepted in the United States (“U.S. GAAP”) and the rules and regulations of the SEC regarding interim financial reporting. As permitted under those rules, certain footnotes or other financial information that are normally required by U.S. GAAP have been condensed or omitted, and, accordingly, the balance sheet as at December 31, 2025 included herein has been derived from the audited financial statements at that date but does not include all of the information required by U.S. GAAP for complete financial statements. These unaudited interim condensed consolidated financial statements have been prepared on the same basis as the Company’s annual financial statements and, in the opinion of management, reflect all adjustments, consisting only of normal recurring adjustments which are necessary for a fair statement of the Company’s financial information. The interim results of operations for the three months ended March 31, 2026 are not necessarily indicative of the results to be expected for the year ending December 31, 2026 or for any other interim period or for any other future year. The unaudited condensed consolidated financial statements comprise the financial statements of the Company and its subsidiaries. Any reference in these notes to the applicable guidance is meant to refer to authoritative U.S. GAAP as found in the Accounting Standards Codification (“ASC”) and Accounting Standards Update (“ASU”) of the Financial Accounting Standards Board (“FASB”). The unaudited condensed consolidated financial statements include the accounts of the Company and its wholly owned subsidiaries, after elimination of intercompany accounts and transactions.</w:t>
      </w:r>
    </w:p>
    <w:p>
      <w:pPr>
        <w:spacing w:after="0" w:line="12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Unless otherwise stated, the accounting policies of the Company are consistent with those described in Note 2 of the consolidated financial statements included within the Annual Report.</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3.</w:t>
        <w:tab/>
        <w:t>Revenue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Menarini Supply Agreement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ind w:right="40"/>
        <w:spacing w:after="0" w:line="282" w:lineRule="auto"/>
        <w:rPr>
          <w:sz w:val="20"/>
          <w:szCs w:val="20"/>
          <w:color w:val="auto"/>
        </w:rPr>
      </w:pPr>
      <w:r>
        <w:rPr>
          <w:rFonts w:ascii="Times New Roman" w:cs="Times New Roman" w:eastAsia="Times New Roman" w:hAnsi="Times New Roman"/>
          <w:sz w:val="18"/>
          <w:szCs w:val="18"/>
          <w:color w:val="auto"/>
        </w:rPr>
        <w:t>On August 12, 2025, NewAmsterdam Pharma B.V. entered into a supply agreement with A. Menarini International Licensing S.A. (“Menarini”) to provide commercial supply of Products (as defined below) for distribution in specified European territories (the “Menarini Supply Agreement”).</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the sale of obicetrapib tablets, as a monotherapy and as a fixed-dose combination therapy with ezetimibe, or from the sale of active pharmaceutical ingredients for the manufacture of such tablets (collectively, “Products”). The Company’s product supply revenue is recognized at a point in time when the performance obligation is satisfied by transferring control of the promised goods or services to the customer and it is probable that the Company will collect the consideration to which it is entitled. In accordance with the terms of the Menarini Supply Agreement, control of the product is transferred upon the conveyance of title, which occurs when the product is made available to the customer.</w:t>
      </w:r>
    </w:p>
    <w:p>
      <w:pPr>
        <w:spacing w:after="0" w:line="1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transaction price is contractually fixed at a markup to the actual cost of goods sold. Due to the cost-based nature of the agreement, the pricing structure includes a variable component which is measured using the expected value method. At each reporting period end, the Company updates its estimate of the transaction price using actual cost data and forecasted expenses. The Company considers the variable consideration constraint under ASC 606 to ensure that it is probable that a significant reversal of cumulative revenue recognized will not occur. The Company will invoice the customer upon the acceptance of purchase orders, and the transaction price is not adjusted for a significant financing component as the period between the transfer of goods and payment is less than one year. The Company states revenues net of any taxes collected from customers that are required to be remitted to various government agencies. The amount of taxes collected from customers and payable to governmental entities is included on the balance sheet as part of accrued expenses and other current liabilities.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consisted of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356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1600" w:type="dxa"/>
            <w:vAlign w:val="bottom"/>
            <w:tcBorders>
              <w:top w:val="single" w:sz="8" w:color="auto"/>
              <w:bottom w:val="single" w:sz="8" w:color="auto"/>
            </w:tcBorders>
          </w:tcPr>
          <w:p>
            <w:pPr>
              <w:jc w:val="right"/>
              <w:ind w:right="5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 attributed from R&amp;D performance obligation</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Supply revenue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8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additions to deferred revenue during the reporting period.</w:t>
      </w:r>
    </w:p>
    <w:p>
      <w:pPr>
        <w:spacing w:after="0" w:line="3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Cash, cash equivalents and marketable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cash, cash equivalents and marketable securities held by the Company as at March 31, 2026 and December 31, 2025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1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As at March 31, 2026</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2"/>
                <w:szCs w:val="12"/>
                <w:color w:val="auto"/>
              </w:rPr>
            </w:pPr>
          </w:p>
        </w:tc>
        <w:tc>
          <w:tcPr>
            <w:tcW w:w="14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2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193,871</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263,736</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457,607</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457,607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securities due within one year (Level 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147,132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 due within one year (Level 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31,389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securities due between one and two years (Level 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US government agency securities due between one and two years (Level 2)</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17,820</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249,938</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249,737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500" w:type="dxa"/>
            <w:vAlign w:val="bottom"/>
          </w:tcPr>
          <w:p>
            <w:pPr>
              <w:spacing w:after="0"/>
              <w:rPr>
                <w:sz w:val="24"/>
                <w:szCs w:val="24"/>
                <w:color w:val="auto"/>
              </w:rPr>
            </w:pPr>
          </w:p>
        </w:tc>
        <w:tc>
          <w:tcPr>
            <w:tcW w:w="1360" w:type="dxa"/>
            <w:vAlign w:val="bottom"/>
            <w:gridSpan w:val="2"/>
          </w:tcPr>
          <w:p>
            <w:pPr>
              <w:jc w:val="right"/>
              <w:ind w:right="1055"/>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-1739265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-1722120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-1739265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-1722120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-1739265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-1722120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-1739265</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-882015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-864870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-882015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-864870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-882015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-864870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3"/>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at December 31, 2025</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vMerge w:val="continue"/>
          </w:tcPr>
          <w:p>
            <w:pPr>
              <w:spacing w:after="0"/>
              <w:rPr>
                <w:sz w:val="12"/>
                <w:szCs w:val="12"/>
                <w:color w:val="auto"/>
              </w:rPr>
            </w:pPr>
          </w:p>
        </w:tc>
        <w:tc>
          <w:tcPr>
            <w:tcW w:w="120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2"/>
                <w:szCs w:val="12"/>
                <w:color w:val="auto"/>
              </w:rPr>
            </w:pPr>
          </w:p>
        </w:tc>
        <w:tc>
          <w:tcPr>
            <w:tcW w:w="14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losses</w:t>
            </w:r>
          </w:p>
        </w:tc>
        <w:tc>
          <w:tcPr>
            <w:tcW w:w="122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219,394</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270,608</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490,002</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2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securities due within one year (Level 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138,083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 due within one year (Level 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government securities due between one and two years (Level 1)</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government agency securities due between one and two years (Level 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21,747</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238,477</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-882015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-864870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-882015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-864870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-882015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-864870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March 31, 2026 and December 31, 2025, the Company’s financial liabilities recognized at fair value on a recurring basis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1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As at March 31, 2026</w:t>
            </w: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12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126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96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warrant liability (Public Warrants)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46,553</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liability (Private Placement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50,229</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As at December 31, 2025</w:t>
            </w: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12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1260" w:type="dxa"/>
            <w:vAlign w:val="bottom"/>
            <w:tcBorders>
              <w:bottom w:val="single" w:sz="8" w:color="auto"/>
            </w:tcBorders>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96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Borders>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liability (Public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warrant liability (Private Placement Warrants)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2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2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-788035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-770890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-788035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-770890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-933450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-788035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-770890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-933450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transferred its Public Warrant liability from Level 1 to Level 2.</w:t>
      </w:r>
    </w:p>
    <w:p>
      <w:pPr>
        <w:spacing w:after="0" w:line="1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changed the valuation method for both Public and Private Placement Warrant liabilities. The change was a result of a decrease in the level of observable market activity for the Company’s Public Warrants. While quoted prices for the Public Warrants remain observable, the Company determined that such prices are not representative of fair value without adjustment, due to the reduced trading volume.</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Following the transfer, the Company estimates fair value using a Black-Scholes option pricing model. The model incorporates observable market inputs, including trading price of the Company’s Ordinary Shares, the volatility of the price of the Company’s Ordinary Shares and the risk-free interest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6.</w:t>
        <w:tab/>
        <w:t>Prepayments and Other Receivables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Prepayments and other receivables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15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costs</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fee receivable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28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prepayments and other receivables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38,138</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tab/>
        <w:t>Accrued Expenses and Other Current Liabilities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6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11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materials and services</w:t>
            </w:r>
          </w:p>
        </w:tc>
        <w:tc>
          <w:tcPr>
            <w:tcW w:w="11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4,322</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2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9,355</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11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2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15,422</w:t>
            </w:r>
          </w:p>
        </w:tc>
      </w:tr>
      <w:tr>
        <w:trPr>
          <w:trHeight w:val="20"/>
        </w:trPr>
        <w:tc>
          <w:tcPr>
            <w:tcW w:w="7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8.</w:t>
        <w:tab/>
        <w:t>Shareholders’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August 9, 2024, we entered into an amended and restated sales agreement (the “Sales Agreement”) with TD Securities (USA) LLC (“TD Cowen”), pursuant to which we may issue and sell from time to time up to $250 million of our Ordinary Shares through or to TD Cowen as our sales agent or acting as principal in any method deemed to be an “at the market offering.” TD Cowen will receive a commission of up to 3.0% of the gross proceeds of any Ordinary Shares sold pursuant to the Sales Agreement. During the three months ended March 31, 2026, we did not sell any Ordinary Shares pursuant to the Sales Agreement.</w:t>
      </w:r>
    </w:p>
    <w:p>
      <w:pPr>
        <w:spacing w:after="0" w:line="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tab/>
        <w:t>Share-Based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Share-based payment plans in place as at March 31, 2026:</w:t>
      </w:r>
    </w:p>
    <w:p>
      <w:pPr>
        <w:spacing w:after="0" w:line="158"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Long-Term Incentive Plan (the “LTIP Plan”);</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Supplementary Long-Term Incentive Plan (the “Supplementary Plan”);</w:t>
      </w:r>
    </w:p>
    <w:p>
      <w:pPr>
        <w:spacing w:after="0" w:line="15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Rollover Option Plan (the “Rollover Plan”); and</w:t>
      </w:r>
    </w:p>
    <w:p>
      <w:pPr>
        <w:spacing w:after="0" w:line="157"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Inducement Plan (the “Inducement Plan,” together with the LTIP Plan, the Supplementary Plan and the Rollover Plan, the “Plans”);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Plans</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Plans are equity-settled, and the Company may grant various forms of equity awards, including the granting of options to purchase Ordinary Shares (“Company Options”) and restricted stock units (“RSUs”), pursuant to the Plans. In total, as of March 31, 2026 a maximum of 34,155,321 Ordinary Shares may be reserved for issuance pursuant to the Plans. The number of Ordinary Shares reserved for grant under the LTIP Plan will increase annually on January 1 of each calendar year by 5% of the then issued and outstanding Ordinary Shares or such lower number as may be determined by the Company’s Board of Directors.</w:t>
      </w:r>
    </w:p>
    <w:p>
      <w:pPr>
        <w:spacing w:after="0" w:line="11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contractual term for options granted under the Plans is 10 years from grant date. In general, each Company Option has a four-year vesting period with 25% of the shares underlying the option vesting after one year and the remaining 75% of the shares underlying the option vesting in equal monthly installments thereafter over the following three years.</w:t>
      </w:r>
    </w:p>
    <w:p>
      <w:pPr>
        <w:spacing w:after="0" w:line="9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general, each RSU, other than the Earnout RSUs, has a three-year vesting period with one-third of the underlying shares vesting on each one-year anniversary of the vesting start date.</w:t>
      </w:r>
    </w:p>
    <w:p>
      <w:pPr>
        <w:spacing w:after="0" w:line="9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changes for the three months ended March 31, 2026 in the number of Company Options outstanding related to Ordinary Shares and their related weighted average exercise prices are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of</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at December 31, 2025</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20,625,368</w:t>
            </w:r>
          </w:p>
        </w:tc>
        <w:tc>
          <w:tcPr>
            <w:tcW w:w="3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2,274,140</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(1,971,548)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(47,410)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at March 31, 2026</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20,880,550</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5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as at March 31, 2026</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10,182,441</w:t>
            </w:r>
          </w:p>
        </w:tc>
        <w:tc>
          <w:tcPr>
            <w:tcW w:w="3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12.02</w:t>
            </w:r>
          </w:p>
        </w:tc>
        <w:tc>
          <w:tcPr>
            <w:tcW w:w="240" w:type="dxa"/>
            <w:vAlign w:val="bottom"/>
            <w:tcBorders>
              <w:top w:val="single" w:sz="8" w:color="CFF0FC"/>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CFF0FC"/>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203,541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260" w:type="dxa"/>
            <w:vAlign w:val="bottom"/>
          </w:tcPr>
          <w:p>
            <w:pPr>
              <w:spacing w:after="0"/>
              <w:rPr>
                <w:sz w:val="24"/>
                <w:szCs w:val="24"/>
                <w:color w:val="auto"/>
              </w:rPr>
            </w:pPr>
          </w:p>
        </w:tc>
        <w:tc>
          <w:tcPr>
            <w:tcW w:w="130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-1045210</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-1028065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-1028065</wp:posOffset>
            </wp:positionV>
            <wp:extent cx="774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-1028065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right="120"/>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of Company Options, estimated as of the grant date using the Black-Scholes option pricing model, was $20.56, and $13.24 per option for options granted during the three months ended March 31, 2026 and 2025, respectively. The total intrinsic value (the amount by which the fair market value exceeded the exercise price) of Company Options exercised during the three months ended March 31, 2026 and 2025 was $54.6 million and $17.3 million, respectively. Weighted average assumptions used to apply this pricing model were as follows:</w:t>
      </w:r>
    </w:p>
    <w:p>
      <w:pPr>
        <w:spacing w:after="0" w:line="133"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r>
      <w:tr>
        <w:trPr>
          <w:trHeight w:val="209"/>
        </w:trPr>
        <w:tc>
          <w:tcPr>
            <w:tcW w:w="8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7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6.1</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52.1%</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47.3%</w:t>
            </w: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expected term represents the period that the Company Options are expected to be outstanding and is determined using the simplified method (based on the mid-point between the vesting date and the end of the contractual term). The Company utilizes this method due to lack of historical exercise data and the plain-vanilla nature of the Company Options.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4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Since the Company was privately held through November 2022, it alone does not have sufficient relevant company-specific historical data to support its expected volatility alone. In prior periods, due to the insufficiency of historical volatility data on the Company’s own securities, the expected volatility input was determined using comparable companies alone. Beginning on January 1, 2024, the expected volatility input was determined using a weighted average calculation considering the volatility of the Company’s own securities and the volatilities of a representative group of publicly traded biopharmaceutical companies over a period equal to the expected term of the stock option grants. Initially, the volatility of the Company’s Ordinary Shares is assigned a weighting of 10%. This weighting will be increased by 5% per calendar quarter (i.e. 50% in the first quarter of 2026), until the expected volatility input is based entirely on the historical volatility of the Company’s Ordinary Shares. For purposes of identifying comparable companies, the Company selected companies with comparable characteristics to it, including enterprise value, risk profiles, position within the industry, and with historical share price information sufficient to meet the expected term of the Company Options. The historical volatility data was computed using the daily closing prices for the selected companies’ shares during the equivalent period of the calculated expected term of the Company Options.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6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risk-free interest rate is based upon the U.S. Treasury yield curve in effect at the time of grant, with a term that approximates the expected term of the Company Options.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Dividend Yield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dividend yield is zero as the Company currently has no history or expectation of declaring dividends on its Ordinary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for the three months ended March 31, 2026 in the number of RSUs outstanding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20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 Fair</w:t>
            </w:r>
          </w:p>
        </w:tc>
        <w:tc>
          <w:tcPr>
            <w:tcW w:w="0" w:type="dxa"/>
            <w:vAlign w:val="bottom"/>
          </w:tcPr>
          <w:p>
            <w:pPr>
              <w:spacing w:after="0"/>
              <w:rPr>
                <w:sz w:val="1"/>
                <w:szCs w:val="1"/>
                <w:color w:val="auto"/>
              </w:rPr>
            </w:pPr>
          </w:p>
        </w:tc>
      </w:tr>
      <w:tr>
        <w:trPr>
          <w:trHeight w:val="173"/>
        </w:trPr>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as at December 31, 2025</w:t>
            </w:r>
          </w:p>
        </w:tc>
        <w:tc>
          <w:tcPr>
            <w:tcW w:w="2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496,390</w:t>
            </w:r>
          </w:p>
        </w:tc>
        <w:tc>
          <w:tcPr>
            <w:tcW w:w="2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(214,163)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Forfeited/Cancelled</w:t>
            </w: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(2,980)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at March 31, 2026</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1,007,530</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share-based compensation expense recognized by type of award and line-item:</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3"/>
        </w:trPr>
        <w:tc>
          <w:tcPr>
            <w:tcW w:w="7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32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60" w:type="dxa"/>
            <w:vAlign w:val="bottom"/>
            <w:vMerge w:val="continue"/>
          </w:tcPr>
          <w:p>
            <w:pPr>
              <w:spacing w:after="0"/>
              <w:rPr>
                <w:sz w:val="12"/>
                <w:szCs w:val="12"/>
                <w:color w:val="auto"/>
              </w:rPr>
            </w:pPr>
          </w:p>
        </w:tc>
        <w:tc>
          <w:tcPr>
            <w:tcW w:w="154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740" w:type="dxa"/>
            <w:vAlign w:val="bottom"/>
            <w:gridSpan w:val="3"/>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 by type of award</w:t>
            </w: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 options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Restricted stock units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 expense by line-item</w:t>
            </w: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-753745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March 31, 2026, there was $65.4 million and $21.1 million of unrecognized compensation cost related to Company Options and RSUs, respectively, that have not yet vested. These costs are expected to be recognized over a weighted average period until fully vested of 3.1 years and 2.4 years for the Company Options and RSUs, respectively.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Information</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has one operating segment and, therefore, one reportable segment, which comprises the discovery, development and commercialization of transformative therapies for cardio-metabolic diseases.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date, the Company’s license agreement with Menarini, dated June 23, 2022, as amended (the “Menarini License”) and the Menarini Supply Agreement have been the only sources of revenue to the Company, and all such revenues derive from Italy.</w:t>
      </w:r>
    </w:p>
    <w:p>
      <w:pPr>
        <w:spacing w:after="0" w:line="8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chief operating decision maker, who is the Company’s chief executive officer, assesses performance and decides how to allocate resources based on consolidated net loss and loss before tax, adjusted for certain non-cash and non-operating items such as share-based compensation, change in fair value of derivatives and foreign currency gains or losses. Adjusted loss before taxes is used to monitor budget versus actuals and evaluate the operations of the Company. The measure of segment assets is reported on the balance sheet as total consolidated assets. The future prospects of the Company are highly dependent upon the results of its ongoing clinical trials and interactions with regulatory agencies. Such results and interactions are utilized together with assessment of the comparison of budget versus actuals in order to make decisions regarding the allocation of resources.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adjusted loss before taxes for the Company’s single segment for each of the three months ended March 31, 2026 and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358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660" w:type="dxa"/>
            <w:vAlign w:val="bottom"/>
            <w:vMerge w:val="continue"/>
          </w:tcPr>
          <w:p>
            <w:pPr>
              <w:spacing w:after="0"/>
              <w:rPr>
                <w:sz w:val="12"/>
                <w:szCs w:val="12"/>
                <w:color w:val="auto"/>
              </w:rPr>
            </w:pPr>
          </w:p>
        </w:tc>
        <w:tc>
          <w:tcPr>
            <w:tcW w:w="1600" w:type="dxa"/>
            <w:vAlign w:val="bottom"/>
            <w:tcBorders>
              <w:top w:val="single" w:sz="8" w:color="auto"/>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1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Personnel expense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External R&amp;D expense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Manufacturing expense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Regulatory expense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Commercial programs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300" w:type="dxa"/>
            <w:vAlign w:val="bottom"/>
            <w:tcBorders>
              <w:bottom w:val="single" w:sz="8" w:color="CFF0FC"/>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loss before tax</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(34,768)</w:t>
            </w:r>
          </w:p>
        </w:tc>
        <w:tc>
          <w:tcPr>
            <w:tcW w:w="30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60" w:type="dxa"/>
            <w:vAlign w:val="bottom"/>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Reconciliation to consolidated net loss</w:t>
            </w: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(18,002)</w:t>
            </w: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(15,213)</w:t>
            </w:r>
          </w:p>
        </w:tc>
        <w:tc>
          <w:tcPr>
            <w:tcW w:w="0" w:type="dxa"/>
            <w:vAlign w:val="bottom"/>
          </w:tcPr>
          <w:p>
            <w:pPr>
              <w:spacing w:after="0"/>
              <w:rPr>
                <w:sz w:val="1"/>
                <w:szCs w:val="1"/>
                <w:color w:val="auto"/>
              </w:rPr>
            </w:pPr>
          </w:p>
        </w:tc>
      </w:tr>
      <w:tr>
        <w:trPr>
          <w:trHeight w:val="216"/>
        </w:trPr>
        <w:tc>
          <w:tcPr>
            <w:tcW w:w="7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 in fair value - derivatives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(1,613)</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loss for the period</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(48,441)</w:t>
            </w: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(39,527)</w:t>
            </w: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-882650</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-865505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-1028065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Ordinary Share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4" w:name="page15"/>
    <w:bookmarkEnd w:id="14"/>
    <w:p>
      <w:pPr>
        <w:ind w:right="180"/>
        <w:spacing w:after="0" w:line="282" w:lineRule="auto"/>
        <w:rPr>
          <w:sz w:val="20"/>
          <w:szCs w:val="20"/>
          <w:color w:val="auto"/>
        </w:rPr>
      </w:pPr>
      <w:r>
        <w:rPr>
          <w:rFonts w:ascii="Times New Roman" w:cs="Times New Roman" w:eastAsia="Times New Roman" w:hAnsi="Times New Roman"/>
          <w:sz w:val="18"/>
          <w:szCs w:val="18"/>
          <w:color w:val="auto"/>
        </w:rPr>
        <w:t>For the purposes of calculating the weighted-average number of Ordinary Shares outstanding, the Ordinary Shares underlying the outstanding pre-funded warrants to purchase Ordinary Shares (the “Pre-Funded Warrants”) issued in the February 2024 Offering and the December 2024 Offering are included.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Ordinary Share was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 except share and per share amounts)</w:t>
            </w:r>
          </w:p>
        </w:tc>
        <w:tc>
          <w:tcPr>
            <w:tcW w:w="31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2000" w:type="dxa"/>
            <w:vAlign w:val="bottom"/>
            <w:tcBorders>
              <w:bottom w:val="single" w:sz="8" w:color="auto"/>
            </w:tcBorders>
          </w:tcPr>
          <w:p>
            <w:pPr>
              <w:jc w:val="right"/>
              <w:ind w:right="7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(48,441)</w:t>
            </w:r>
          </w:p>
        </w:tc>
        <w:tc>
          <w:tcPr>
            <w:tcW w:w="8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(39,527)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Ordinary Shares outstanding, basic and diluted</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121,716,006</w:t>
            </w:r>
          </w:p>
        </w:tc>
        <w:tc>
          <w:tcPr>
            <w:tcW w:w="2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116,124,941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Ordinary Share, basic and diluted</w:t>
            </w:r>
          </w:p>
        </w:tc>
        <w:tc>
          <w:tcPr>
            <w:tcW w:w="2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(0.40)</w:t>
            </w:r>
          </w:p>
        </w:tc>
        <w:tc>
          <w:tcPr>
            <w:tcW w:w="8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Ordinary Shares outstanding as they would be anti-dilutive:</w:t>
      </w:r>
    </w:p>
    <w:p>
      <w:pPr>
        <w:spacing w:after="0" w:line="88"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6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0" w:type="dxa"/>
            <w:vAlign w:val="bottom"/>
            <w:tcBorders>
              <w:top w:val="single" w:sz="8" w:color="auto"/>
              <w:bottom w:val="single" w:sz="8" w:color="auto"/>
            </w:tcBorders>
          </w:tcPr>
          <w:p>
            <w:pPr>
              <w:jc w:val="right"/>
              <w:ind w:right="7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8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20,880,550</w:t>
            </w:r>
          </w:p>
        </w:tc>
        <w:tc>
          <w:tcPr>
            <w:tcW w:w="2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21,851,453</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1,007,530</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663,790</w:t>
            </w:r>
          </w:p>
        </w:tc>
        <w:tc>
          <w:tcPr>
            <w:tcW w:w="100" w:type="dxa"/>
            <w:vAlign w:val="bottom"/>
          </w:tcPr>
          <w:p>
            <w:pPr>
              <w:spacing w:after="0"/>
              <w:rPr>
                <w:sz w:val="18"/>
                <w:szCs w:val="18"/>
                <w:color w:val="auto"/>
              </w:rPr>
            </w:pPr>
          </w:p>
        </w:tc>
      </w:tr>
      <w:tr>
        <w:trPr>
          <w:trHeight w:val="216"/>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2,433,485</w:t>
            </w:r>
          </w:p>
        </w:tc>
        <w:tc>
          <w:tcPr>
            <w:tcW w:w="280" w:type="dxa"/>
            <w:vAlign w:val="bottom"/>
            <w:tcBorders>
              <w:bottom w:val="single" w:sz="8" w:color="CFF0FC"/>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2,616,639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24,321,565</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25,131,882</w:t>
            </w:r>
          </w:p>
        </w:tc>
        <w:tc>
          <w:tcPr>
            <w:tcW w:w="10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4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in the normal course of business, entered into a variety of agreements and financial commitments with contract research organizations, contract manufacturing organizations and other third parties for preclinical and clinical development and manufacturing services. The terms generally provide the Company with the option to cancel, reschedule and adjust its requirements based on the Company’s business needs, prior to the delivery of goods or performance of services. Payments due upon cancellation generally consist only of payments for services provided or expenses incurred, including non-cancellable obligations of the Company's service providers, up to the date of cancellation. However, some of the Company's service providers also charge cancellation fees upon cancellation. The amount and timing of such payments are not known, but at March 31, 2026 they are estimated to be a maximum of $38.4 million.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According to the terms of the Menarini License, the Company will be responsible for development and commercialization costs related to Licensed Products (as defined in the Menarini License) other than those in the Menarini Territory (as defined in the Menarini License). In addition, under specified conditions of the agreement, the Company agreed to bear 50% of certain development costs incurred by the other party in the development of the Licensed Products in the Menarini Territory.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Parties</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enter into transactions with entities that are associated with a party that meets the criteria of a related party of the Company. These transactions are reviewed quarterly and to date have not been material to the Company’s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The unaudited condensed consolidated financial statements, included elsewhere in this Quarterly Report, and this Management’s Discussion and Analysis of Financial Condition and Results of Operations should be read together with our audited financial statements and accompanying notes for the year ended December 31, 2025 and the related Management’s Discussion and Analysis of Financial Condition and Results of Operations included in our Annual Report on Form 10-K (the “Annual Report”), filed with the U.S. Securities and Exchange Commission (the “SEC”) on February 18, 2026. In addition to historical financial information, the following discussion contains forward-looking statements that reflect our plans, estimates and beliefs. Our actual results could differ materially from those contained in or implied by any forward-looking statements. Factors that could cause or contribute to these differences include those discussed in the sections titled “Risk Factors” and “Special Note Regarding Forward-Looking Statements” in the Annual Report and this Quarterly Report. Our operating results are not necessarily indicative of results that may occur for the full fiscal year or any other future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right="20" w:firstLine="464"/>
        <w:spacing w:after="0" w:line="252" w:lineRule="auto"/>
        <w:rPr>
          <w:sz w:val="20"/>
          <w:szCs w:val="20"/>
          <w:color w:val="auto"/>
        </w:rPr>
      </w:pPr>
      <w:r>
        <w:rPr>
          <w:rFonts w:ascii="Times New Roman" w:cs="Times New Roman" w:eastAsia="Times New Roman" w:hAnsi="Times New Roman"/>
          <w:sz w:val="18"/>
          <w:szCs w:val="18"/>
          <w:color w:val="auto"/>
        </w:rPr>
        <w:t>We are a late-stage biopharmaceutical company whose mission is to improve patient care in populations with cardiometabolic diseases where currently approved therapies have not been adequate or well tolerated. We seek to fill a significant unmet need for a safe, well tolerated and convenient low-density lipoprotein cholesterol (“LDL-C”) lowering therapy. In multiple Phase 3 trials, we have investigated obicetrapib, an oral, low-dose, once-daily, highly selective cholesteryl ester transfer protein (“CETP”) inhibitor, alone or as a fixed-dose combination ("FDC") with ezetimibe, as preferred LDL-C lowering therapies to be used as an adjunct to statin therapy for patients at risk of cardiovascular disease (“CVD”) with elevated LDL-C, for whom existing therapies are not sufficiently effective or well tolerated. We believe that CETP inhibition may also play a role in other indications by potentially mitigating the risk of developing diseases such as Alzheimer’s disease (“AD”).</w:t>
      </w:r>
    </w:p>
    <w:p>
      <w:pPr>
        <w:spacing w:after="0" w:line="80" w:lineRule="exact"/>
        <w:rPr>
          <w:sz w:val="20"/>
          <w:szCs w:val="20"/>
          <w:color w:val="auto"/>
        </w:rPr>
      </w:pPr>
    </w:p>
    <w:p>
      <w:pPr>
        <w:ind w:firstLine="464"/>
        <w:spacing w:after="0" w:line="253" w:lineRule="auto"/>
        <w:rPr>
          <w:sz w:val="20"/>
          <w:szCs w:val="20"/>
          <w:color w:val="auto"/>
        </w:rPr>
      </w:pPr>
      <w:r>
        <w:rPr>
          <w:rFonts w:ascii="Times New Roman" w:cs="Times New Roman" w:eastAsia="Times New Roman" w:hAnsi="Times New Roman"/>
          <w:sz w:val="18"/>
          <w:szCs w:val="18"/>
          <w:color w:val="auto"/>
        </w:rPr>
        <w:t>Obicetrapib is a next-generation, oral, low-dose, highly selective CETP inhibitor that we are developing to potentially overcome the limitations of current LDL-C lowering treatments. We believe that obicetrapib has the potential to be a once-daily oral CETP inhibitor for lowering LDL-C, if approved. In each of our Phase 3 clinical trials, BROADWAY and BROOKLYN, evaluating obicetrapib as an adjunct to high-intensity statin therapy, obicetrapib met its primary and secondary endpoints, with statistically significant reductions in LDL-C observed. In our Phase 3 TANDEM clinical trial, evaluating obicetrapib in combination with ezetimibe as an adjunct to high-intensity statin therapy, obicetrapib in combination with ezetimibe met its primary and secondary endpoints, with statistically significant reductions in LDL-C observed. Following the successful completion and positive topline results of the Phase 3 BROADWAY, TANDEM, and BROOKLYN trials, we plan to announce additional clinical data from these trials relating to obicetrapib and the FDC of obicetrapib plus ezetimibe during 2026. In five of our Phase 2 clinical trials, TULIP, ROSE, OCEAN, ROSE2 and our Japan Phase 2b clinical trial, evaluating obicetrapib as a monotherapy or a combination therapy with ezetimibe 10 mg, we observed statistically significant LDL-C lowering. In each of these trials, side effects were similar in frequency and severity to placebo including muscle-related side effects and drug-related treatment emergent serious adverse events. We have observed obicetrapib to be well tolerated in an aggregate of over 3,500 patients with low or moderately elevated LDL-C levels (“dyslipidemia”) in our clinical trials to date. Furthermore, we believe that obicetrapib’s oral delivery, demonstrated activity at low doses, chemical properties and tolerability make it well-suited for combination approaches.</w:t>
      </w:r>
    </w:p>
    <w:p>
      <w:pPr>
        <w:spacing w:after="0" w:line="79"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8"/>
          <w:szCs w:val="18"/>
          <w:color w:val="auto"/>
        </w:rPr>
        <w:t>Lowering of LDL-C has been associated with major adverse cardiovascular events (“MACE”) benefit in trials of LDL-C lowering drugs, including the REVEAL trial with the CETP inhibitor anacetrapib. In our Phase 3 BROADWAY clinical trial, we observed a 21% reduction in the exploratory MACE endpoint (coronary heart disease death, non-fatal myocardial infarction, non-fatal stroke and coronary revascularization) and we are performing a Phase 3 cardiovascular outcomes trial (“CVOT”), PREVAIL, to reconfirm this relationship.</w:t>
      </w:r>
    </w:p>
    <w:p>
      <w:pPr>
        <w:spacing w:after="0" w:line="72"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8"/>
          <w:szCs w:val="18"/>
          <w:color w:val="auto"/>
        </w:rPr>
        <w:t>Obicetrapib has shown to not only reduce LDL-C but also several additional biomarkers associated with MACE. To date, obicetrapib has shown reductions in non-HDL-C, apolipoprotein B, and small dense lipoprotein particles. In our clinical trials, we have also observed reductions in Lp(a), which is believed to be an independent MACE risk factor, along with reductions in total lipoprotein (“LDL”) particles and more specifically small LDL particles, which are believed to be more atherogenic particles.</w:t>
      </w:r>
    </w:p>
    <w:p>
      <w:pPr>
        <w:spacing w:after="0" w:line="72" w:lineRule="exact"/>
        <w:rPr>
          <w:sz w:val="20"/>
          <w:szCs w:val="20"/>
          <w:color w:val="auto"/>
        </w:rPr>
      </w:pPr>
    </w:p>
    <w:p>
      <w:pPr>
        <w:ind w:right="340" w:firstLine="464"/>
        <w:spacing w:after="0" w:line="266" w:lineRule="auto"/>
        <w:rPr>
          <w:sz w:val="20"/>
          <w:szCs w:val="20"/>
          <w:color w:val="auto"/>
        </w:rPr>
      </w:pPr>
      <w:r>
        <w:rPr>
          <w:rFonts w:ascii="Times New Roman" w:cs="Times New Roman" w:eastAsia="Times New Roman" w:hAnsi="Times New Roman"/>
          <w:sz w:val="18"/>
          <w:szCs w:val="18"/>
          <w:color w:val="auto"/>
        </w:rPr>
        <w:t>CVD is a leading cause of death worldwide. Atherosclerotic cardiovascular disease (“ASCVD”) is primarily caused by atherosclerosis, which involves the build-up of fatty material within the inner walls of the arteries. Atherosclerosis is the primary cause of heart attacks, strokes and peripheral vascular disease. One of the most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risk factors for ASCVD is hypercholesterolemia, which refers to elevated LDL-C levels within the body, commonly known as high cholesterol.</w:t>
      </w:r>
    </w:p>
    <w:p>
      <w:pPr>
        <w:spacing w:after="0" w:line="117"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A significant proportion of patients with high cholesterol do not achieve acceptable LDL-C levels using statin therapy alone. We estimate that in the United States there are approximately 30 million patients that are not at their risk-based LDL-C goals despite treatment with lipid lowering therapy, including approximately 13 million with ASCVD. Existing non-statin treatment options have been largely unable to address the needs of patients with high cholesterol due to limited efficacy, an inconvenient injectable administration route and, in the past, market access restrictions. It is estimated that over 75% of ASCVD and heterozygous familial hypercholesterolemia (“HeFH”) outpatients prefer oral drugs to injectable therapies.</w:t>
      </w:r>
    </w:p>
    <w:p>
      <w:pPr>
        <w:spacing w:after="0" w:line="75" w:lineRule="exact"/>
        <w:rPr>
          <w:sz w:val="20"/>
          <w:szCs w:val="20"/>
          <w:color w:val="auto"/>
        </w:rPr>
      </w:pPr>
    </w:p>
    <w:p>
      <w:pPr>
        <w:ind w:right="40" w:firstLine="464"/>
        <w:spacing w:after="0" w:line="256" w:lineRule="auto"/>
        <w:rPr>
          <w:sz w:val="20"/>
          <w:szCs w:val="20"/>
          <w:color w:val="auto"/>
        </w:rPr>
      </w:pPr>
      <w:r>
        <w:rPr>
          <w:rFonts w:ascii="Times New Roman" w:cs="Times New Roman" w:eastAsia="Times New Roman" w:hAnsi="Times New Roman"/>
          <w:sz w:val="18"/>
          <w:szCs w:val="18"/>
          <w:color w:val="auto"/>
        </w:rPr>
        <w:t>Our goal is to develop and commercialize an LDL-C lowering monotherapy and an FDC therapy, which offers the advantage of a single, low dose, once-daily oral pill, and fulfills the significant unmet need for an effective and convenient LDL-C lowering therapy. If we obtain marketing approval, we intend to commercialize obicetrapib for patients with ASCVD and/or HeFH and elevated levels of LDL-C despite being treated with currently available optimal lipid lowering therapy. Our goal is to submit a New Drug Application (“NDA”) in the U.S. for the FDC shortly after submitting an NDA for obicetrapib as a monotherapy. We expect that efficacy and safety data from BROADWAY and BROOKLYN will be described in the FDC product label, if approved.</w:t>
      </w:r>
    </w:p>
    <w:p>
      <w:pPr>
        <w:spacing w:after="0" w:line="79" w:lineRule="exact"/>
        <w:rPr>
          <w:sz w:val="20"/>
          <w:szCs w:val="20"/>
          <w:color w:val="auto"/>
        </w:rPr>
      </w:pPr>
    </w:p>
    <w:p>
      <w:pPr>
        <w:ind w:right="220" w:firstLine="464"/>
        <w:spacing w:after="0" w:line="254" w:lineRule="auto"/>
        <w:rPr>
          <w:sz w:val="20"/>
          <w:szCs w:val="20"/>
          <w:color w:val="auto"/>
        </w:rPr>
      </w:pPr>
      <w:r>
        <w:rPr>
          <w:rFonts w:ascii="Times New Roman" w:cs="Times New Roman" w:eastAsia="Times New Roman" w:hAnsi="Times New Roman"/>
          <w:sz w:val="18"/>
          <w:szCs w:val="18"/>
          <w:color w:val="auto"/>
        </w:rPr>
        <w:t>We have partnered with A. Menarini International Licensing S.A. (“Menarini”), providing them with the exclusive rights to commercialize obicetrapib 10 mg, either as a sole active ingredient product or in a FDC with ezetimibe (the “Licensed Products”), in the majority of European countries (the Menarini Territory), if approved. In August 2025, the European Medicines Agency (the “EMA”) accepted for review the Marketing Authorization Applications (“MAAs”) submitted by Menarini for obicetrapib 10 mg monotherapy and the FDC of 10 mg obicetrapib plus 10 mg ezetimibe for the treatment of primary hypercholesterolemia, including heterozygous familial and non-familial or mixed dyslipidemia. Subsequently, MAAs were also submitted to regulators in the United Kingdom (“UK”) and Switzerland and accepted for review. The submissions are supported by data from the BROADWAY, BROOKLYN, and TANDEM pivotal Phase 3 trials. We anticipate that Menarini will receive decisions on the MAAs from each of the regulators in the second half of 2026. If the MAAs are approved by the regulators, Menarini will be required to use commercially reasonable efforts to commercialize obicetrapib in the Menarini Territory and could potentially launch these products in the fourth quarter of 2026 in Germany and the UK.</w:t>
      </w:r>
    </w:p>
    <w:p>
      <w:pPr>
        <w:spacing w:after="0" w:line="80"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8"/>
          <w:szCs w:val="18"/>
          <w:color w:val="auto"/>
        </w:rPr>
        <w:t>Our current plan is to pursue development and, subject to the receipt of marketing approval, commercialization of obicetrapib in the United States ourselves, and to consider additional partners for jurisdictions outside of the United States and Europe, including in Japan and China. In addition to our partnership with Menarini, we may in the future utilize a variety of types of collaboration, license, monetization, distribution and other arrangements with other third parties relating to the development or commercialization, once approved, of obicetrapib or future product candidates or indications. We are also regularly evaluating the potential acquisition or license of new product candidates.</w:t>
      </w:r>
    </w:p>
    <w:p>
      <w:pPr>
        <w:spacing w:after="0" w:line="75" w:lineRule="exact"/>
        <w:rPr>
          <w:sz w:val="20"/>
          <w:szCs w:val="20"/>
          <w:color w:val="auto"/>
        </w:rPr>
      </w:pPr>
    </w:p>
    <w:p>
      <w:pPr>
        <w:ind w:firstLine="464"/>
        <w:spacing w:after="0" w:line="253" w:lineRule="auto"/>
        <w:rPr>
          <w:sz w:val="20"/>
          <w:szCs w:val="20"/>
          <w:color w:val="auto"/>
        </w:rPr>
      </w:pPr>
      <w:r>
        <w:rPr>
          <w:rFonts w:ascii="Times New Roman" w:cs="Times New Roman" w:eastAsia="Times New Roman" w:hAnsi="Times New Roman"/>
          <w:sz w:val="18"/>
          <w:szCs w:val="18"/>
          <w:color w:val="auto"/>
        </w:rPr>
        <w:t>We conducted two Phase 3 pivotal clinical trials, BROADWAY and BROOKLYN, to evaluate obicetrapib as a monotherapy used as an adjunct to maximally tolerated lipid-lowering therapies to potentially enhance LDL-C lowering in patients with ASCVD and/or HeFH. In March 2022, we commenced our Phase 3 PREVAIL CVOT, which is designed to assess the potential of obicetrapib to reduce occurrences of MACE, including cardiovascular death, non-fatal myocardial infarction, total stroke and total coronary revascularization, in at least 9,000 patients. We completed enrollment in PREVAIL in April 2024. We expect the minimum 2.5 year follow-up period for the last participant in PREVAIL to be satisfied at the end of the 2026, but the PREVAIL trial protocol requires PREVAIL to continue until the target number of MACE events have occurred. Based on our review of preliminary blinded PREVAIL data following the second anniversary of the completion of enrollment, including a Year 1 event rate consistent with that we observed in BROADWAY and a Year 1-to-Year 2 overall MACE event rate lower than expected, we have decided to conduct an interim analysis of PREVAIL data in the fourth quarter of 2026 coinciding with reaching the minimum 2.5-year follow-up period for the trial. The blinded PREVAIL data available to us is preliminary and subject to change as additional MACE events continue to be identified and adjudicated (including with respect to the Year 1-to-Year 2 period discussed above). Additionally, the Year 1 and Year 1-to-Year 2 MACE event trends observed to date may not be indicative of future trends.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firstLine="749"/>
        <w:spacing w:after="0" w:line="254" w:lineRule="auto"/>
        <w:rPr>
          <w:sz w:val="20"/>
          <w:szCs w:val="20"/>
          <w:color w:val="auto"/>
        </w:rPr>
      </w:pPr>
      <w:r>
        <w:rPr>
          <w:rFonts w:ascii="Times New Roman" w:cs="Times New Roman" w:eastAsia="Times New Roman" w:hAnsi="Times New Roman"/>
          <w:sz w:val="18"/>
          <w:szCs w:val="18"/>
          <w:color w:val="auto"/>
        </w:rPr>
        <w:t>The interim analysis will be conducted by the Independent Data Safety Monitoring Board (“DSMB”) for the trial, and will remain blinded to us. Based on the analysis, we will receive a recommendation from the DSMB based on certain pre-specified criteria that we have set to end the trial early for efficacy or futility, as well as other considerations for which the DSMB has discretion, or if such criteria are not achieved, to continue the trial until the target number of MACE events has occurred. Only the DSMB will have access to unblinded data in connection with the interim analysis. We expect to receive the DSMB’s recommendation based on the interim analysis in the first quarter of 2027. If the interim analysis results in the trial being stopped early for efficacy or futility, then we will initiate activities to wind-down the study over the next few months including, among other things, final patient study visits and data collection procedures, to enable database lock and unblinding of the study. If the interim analysis results in the trial continuing, we expect to complete PREVAIL by the end of 2027.</w:t>
      </w:r>
    </w:p>
    <w:p>
      <w:pPr>
        <w:spacing w:after="0" w:line="84" w:lineRule="exact"/>
        <w:rPr>
          <w:sz w:val="20"/>
          <w:szCs w:val="20"/>
          <w:color w:val="auto"/>
        </w:rPr>
      </w:pPr>
    </w:p>
    <w:p>
      <w:pPr>
        <w:ind w:right="180" w:firstLine="464"/>
        <w:spacing w:after="0" w:line="256" w:lineRule="auto"/>
        <w:rPr>
          <w:sz w:val="20"/>
          <w:szCs w:val="20"/>
          <w:color w:val="auto"/>
        </w:rPr>
      </w:pPr>
      <w:r>
        <w:rPr>
          <w:rFonts w:ascii="Times New Roman" w:cs="Times New Roman" w:eastAsia="Times New Roman" w:hAnsi="Times New Roman"/>
          <w:sz w:val="18"/>
          <w:szCs w:val="18"/>
          <w:color w:val="auto"/>
        </w:rPr>
        <w:t>In March 2026, we completed enrollment of 323 patients in REMBRANDT, a placebo-controlled, double-blind, randomized, Phase 3 trial is being conducted in adult participants with high-risk ASCVD with evidence of coronary plaque who are not adequately controlled by their maximally tolerated lipid-modifying therapy, with the aim to assess the impact of the obicetrapib 10 mg plus ezetimibe 10 mg FDC daily on lipid-rich coronary plaque and arterial wall inflammation characteristics. We are also conducting the RUBENS Phase 3 trial. Initiated in December 2025, this trial is evaluating obicetrapib alone or in combination with ezetimibe in patients with type 2 diabetes or metabolic syndrome that require additional lowering of LDL-C despite treatment with available therapy. The trial is expected to enroll approximately 300 patients, with topline data expected by year end 2026.</w:t>
      </w:r>
    </w:p>
    <w:p>
      <w:pPr>
        <w:spacing w:after="0" w:line="79" w:lineRule="exact"/>
        <w:rPr>
          <w:sz w:val="20"/>
          <w:szCs w:val="20"/>
          <w:color w:val="auto"/>
        </w:rPr>
      </w:pPr>
    </w:p>
    <w:p>
      <w:pPr>
        <w:ind w:right="60" w:firstLine="464"/>
        <w:spacing w:after="0" w:line="253" w:lineRule="auto"/>
        <w:rPr>
          <w:sz w:val="20"/>
          <w:szCs w:val="20"/>
          <w:color w:val="auto"/>
        </w:rPr>
      </w:pPr>
      <w:r>
        <w:rPr>
          <w:rFonts w:ascii="Times New Roman" w:cs="Times New Roman" w:eastAsia="Times New Roman" w:hAnsi="Times New Roman"/>
          <w:sz w:val="18"/>
          <w:szCs w:val="18"/>
          <w:color w:val="auto"/>
        </w:rPr>
        <w:t>In addition to our cardiometabolic program, we are exploring the potential application of CETP inhibition in other indications, including AD and diabetes. Based on the lipid-modifying effects of CETP inhibition observed in our clinical trials for obicetrapib to date, we have conducted preclinical and early clinical evaluations of obicetrapib in AD. We initiated a Phase 2a clinical trial in patients with early AD to evaluate the pharmacodynamic and pharmacokinetic effects, safety and tolerability of obicetrapib, and announced initial data from this trial in September 2023. In July 2025, we announced data from the prespecified AD biomarker analysis in our BROADWAY clinical trial. Based on these results, we expect to initiate a new clinical trial evaluating obicetrapib in patients with early AD in 2026. Clinically demonstrated anti-diabetic benefits have also been observed with CETP inhibition in Phase 3 CVOTs that, if seen in obicetrapib, would differentiate it from current treatment alternatives, especially statin therapy. We are planning preclinical studies to examine the potential of obicetrapib for patients suffering from diabetes and have included new onset of Type 2 diabetes as an endpoint in our PREVAIL CVOT, as measured by adverse events (“AEs”) indicating Type 2 diabetes, initiation of anti-diabetes medication after confirmed diabetes diagnosis or high levels of hemoglobin A1c and fasting plasma glucose. In the Phase 3 BROADWAY trial, we observed a statistically significant improvement in these prespecified AEs of special interest after one year of treatment that we hope to reconfirm in the PREVAIL CVOT trial.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120" w:firstLine="464"/>
        <w:spacing w:after="0" w:line="254" w:lineRule="auto"/>
        <w:rPr>
          <w:sz w:val="20"/>
          <w:szCs w:val="20"/>
          <w:color w:val="auto"/>
        </w:rPr>
      </w:pPr>
      <w:r>
        <w:rPr>
          <w:rFonts w:ascii="Times New Roman" w:cs="Times New Roman" w:eastAsia="Times New Roman" w:hAnsi="Times New Roman"/>
          <w:sz w:val="18"/>
          <w:szCs w:val="18"/>
          <w:color w:val="auto"/>
        </w:rPr>
        <w:t>To date, we have not generated significant revenue from the sale of pharmaceutical products. Our revenue has been primarily derived from our license agreement with Menarini (the “Menarini License”). Two performance obligations for the Menarini License were identified at contract inception, comprising a license to use our intellectual property (the “license performance obligation”) and a promise to continue the development activities for the licensed compound (the “R&amp;D performance obligation”). Pursuant to the Menarini License, we received a non-refundable, non-creditable upfront amount of $120.9 million (€115.0 million) from Menarini on July 7, 2022, of which $98.6 million (€93.5 million) was attributed to the license performance obligation and recognized as revenue upon the execution of the Menarini License on June 23, 2022. The remaining $22.3 million (€21.5 million) was attributed to the R&amp;D performance obligation and initially recognized as deferred revenue. During the year ending December 31, 2025 the R&amp;D performance obligation was satisfied and all deferred revenue related to such performance obligation was recognized.</w:t>
      </w:r>
    </w:p>
    <w:p>
      <w:pPr>
        <w:spacing w:after="0" w:line="84"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Additionally, in partial contribution to our costs of development of the Licensed Products, Menarini paid us €27.5 million, in two equal annual installments. Due to the scientific uncertainties around the commercialization of the Licensed Products based on the success of clinical trials, which is out of our control, the fixed €27.5 million was considered constrained at contract execution and was not initially recognized within the transaction price until it became highly probable of no significant revenue reversal. Both annual development cost contributions have since been recognized within the transaction price.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 w:name="page19"/>
    <w:bookmarkEnd w:id="18"/>
    <w:p>
      <w:pPr>
        <w:spacing w:after="0" w:line="86" w:lineRule="exact"/>
        <w:rPr>
          <w:sz w:val="20"/>
          <w:szCs w:val="20"/>
          <w:color w:val="auto"/>
        </w:rPr>
      </w:pPr>
    </w:p>
    <w:p>
      <w:pPr>
        <w:ind w:right="20" w:firstLine="464"/>
        <w:spacing w:after="0" w:line="254" w:lineRule="auto"/>
        <w:rPr>
          <w:sz w:val="20"/>
          <w:szCs w:val="20"/>
          <w:color w:val="auto"/>
        </w:rPr>
      </w:pPr>
      <w:r>
        <w:rPr>
          <w:rFonts w:ascii="Times New Roman" w:cs="Times New Roman" w:eastAsia="Times New Roman" w:hAnsi="Times New Roman"/>
          <w:sz w:val="18"/>
          <w:szCs w:val="18"/>
          <w:color w:val="auto"/>
        </w:rPr>
        <w:t>Under the Menarini License, we are also entitled to receive certain cost sharing payments, sales-based royalties and payments based upon the achievement of defined development, regulatory and commercial milestones linked to the enhanced value of the license performance obligation. These milestones are contingent payments and represent variable considerations that are not initially recognized within the transaction price, due to the scientific uncertainties around the commercialization of the Licensed Products based on the success of clinical trials. Our ability to receive and generate revenue from these payments is dependent upon a number of factors, including our ability to successfully complete the development of and obtain regulatory approval for obicetrapib within the Menarini Territory. The uncertainty of achieving these milestones significantly impacts our ability to generate revenue. At the end of each reporting period, we assess the probability of significant reversals for any amounts that become likely to be realized prior to recognizing the variable consideration associated with these payments within the transaction price.</w:t>
      </w:r>
    </w:p>
    <w:p>
      <w:pPr>
        <w:spacing w:after="0" w:line="84" w:lineRule="exact"/>
        <w:rPr>
          <w:sz w:val="20"/>
          <w:szCs w:val="20"/>
          <w:color w:val="auto"/>
        </w:rPr>
      </w:pPr>
    </w:p>
    <w:p>
      <w:pPr>
        <w:ind w:right="340" w:firstLine="464"/>
        <w:spacing w:after="0" w:line="266" w:lineRule="auto"/>
        <w:rPr>
          <w:sz w:val="20"/>
          <w:szCs w:val="20"/>
          <w:color w:val="auto"/>
        </w:rPr>
      </w:pPr>
      <w:r>
        <w:rPr>
          <w:rFonts w:ascii="Times New Roman" w:cs="Times New Roman" w:eastAsia="Times New Roman" w:hAnsi="Times New Roman"/>
          <w:sz w:val="18"/>
          <w:szCs w:val="18"/>
          <w:color w:val="auto"/>
        </w:rPr>
        <w:t>In addition, we entered into a supply agreement with Menarini (the “Menarini Supply Agreement”) to provide commercial supply of obicetrapib monotherapy and obicetrapib and ezetimibe fixed-dose combination finished products in bulk tablet form (the “Drug Products”) for distribution by Menarini in specified European territories.</w:t>
      </w:r>
    </w:p>
    <w:p>
      <w:pPr>
        <w:spacing w:after="0" w:line="68" w:lineRule="exact"/>
        <w:rPr>
          <w:sz w:val="20"/>
          <w:szCs w:val="20"/>
          <w:color w:val="auto"/>
        </w:rPr>
      </w:pPr>
    </w:p>
    <w:p>
      <w:pPr>
        <w:ind w:right="60" w:firstLine="464"/>
        <w:spacing w:after="0" w:line="254" w:lineRule="auto"/>
        <w:rPr>
          <w:sz w:val="20"/>
          <w:szCs w:val="20"/>
          <w:color w:val="auto"/>
        </w:rPr>
      </w:pPr>
      <w:r>
        <w:rPr>
          <w:rFonts w:ascii="Times New Roman" w:cs="Times New Roman" w:eastAsia="Times New Roman" w:hAnsi="Times New Roman"/>
          <w:sz w:val="18"/>
          <w:szCs w:val="18"/>
          <w:color w:val="auto"/>
        </w:rPr>
        <w:t>We recognize revenue from the sale of Drug Products, and from the sale of active pharmaceutical ingredients to Menarini for the manufacturer of such tablets. Our product supply revenue is recognized at a point in time when the performance obligation is satisfied by transferring control of the promised goods or services to the customer and it is probable that we will collect the consideration to which we are entitled. In accordance with the terms of the Menarini Supply Agreement, control of the product is transferred upon the conveyance of title, which occurs when the product is made available to Menarini. The transaction price is contractually fixed at a markup of the actual cost of goods sold. Due to the cost-based nature of the agreement, the pricing structure includes a variable component which is measured using the expected value method. At each reporting period end, we update our estimate of the transaction price using actual cost data and forecasted expenses. We state revenues net of any taxes collected from customers that are required to be remitted to various government agencies.</w:t>
      </w:r>
    </w:p>
    <w:p>
      <w:pPr>
        <w:spacing w:after="0" w:line="84" w:lineRule="exact"/>
        <w:rPr>
          <w:sz w:val="20"/>
          <w:szCs w:val="20"/>
          <w:color w:val="auto"/>
        </w:rPr>
      </w:pPr>
    </w:p>
    <w:p>
      <w:pPr>
        <w:ind w:right="760" w:firstLine="464"/>
        <w:spacing w:after="0" w:line="282" w:lineRule="auto"/>
        <w:rPr>
          <w:sz w:val="20"/>
          <w:szCs w:val="20"/>
          <w:color w:val="auto"/>
        </w:rPr>
      </w:pPr>
      <w:r>
        <w:rPr>
          <w:rFonts w:ascii="Times New Roman" w:cs="Times New Roman" w:eastAsia="Times New Roman" w:hAnsi="Times New Roman"/>
          <w:sz w:val="18"/>
          <w:szCs w:val="18"/>
          <w:color w:val="auto"/>
        </w:rPr>
        <w:t>Any revenue generated from potential future collaborations or product sales may vary due to the many uncertainties in the development of obicetrapib and other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0" w:firstLine="46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are recognized as an expense when incurred and are typically made up of costs from our clinical and preclinical activities, drug development and manufacturing costs, and costs for contract research organizations (“CROs”) and investigative sites. Costs for certain development activities, such as clinical trials, are recognized based on an evaluation of the progress to completion of specific tasks using data provided by vendors of their actual costs incurred. At each balance sheet date, we estimate the level of services provided by vendors and the associated expenditure incurred for the services performed.</w:t>
      </w:r>
    </w:p>
    <w:p>
      <w:pPr>
        <w:spacing w:after="0" w:line="75"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All such costs are for the purpose of advancing our product candidates to successfully complete clinical development, attain regulatory approval and, if approved, commercialize our product candidates. Much of our current focus in our ongoing trials is on patient recruitment and retention and data cleaning. Research and development expenses consist of the following:</w:t>
      </w:r>
    </w:p>
    <w:p>
      <w:pPr>
        <w:spacing w:after="0" w:line="68" w:lineRule="exact"/>
        <w:rPr>
          <w:sz w:val="20"/>
          <w:szCs w:val="20"/>
          <w:color w:val="auto"/>
        </w:rPr>
      </w:pPr>
    </w:p>
    <w:p>
      <w:pPr>
        <w:ind w:left="900" w:right="460" w:hanging="38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expenses primarily incurred by CROs assisting with our sponsored clinical trials and including clinical investigator costs, patient enrollments and costs of clinical sites;</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expenses arising from investments in commercial manufacturing capabilities and active pharmaceutical ingredient and drug product development as performed by our contract manufacturing organizations (“CMOs”);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obtaining potential regulatory approval of our product candidates, including preparation and submission of filings, ongoing monitoring and compliance with comments and recommendations provided by regulatory authorities, and regulatory-related advisory fees;</w:t>
      </w:r>
    </w:p>
    <w:p>
      <w:pPr>
        <w:spacing w:after="0" w:line="67" w:lineRule="exact"/>
        <w:rPr>
          <w:rFonts w:ascii="Times New Roman" w:cs="Times New Roman" w:eastAsia="Times New Roman" w:hAnsi="Times New Roman"/>
          <w:sz w:val="18"/>
          <w:szCs w:val="18"/>
          <w:color w:val="auto"/>
        </w:rPr>
      </w:pPr>
    </w:p>
    <w:p>
      <w:pPr>
        <w:jc w:val="both"/>
        <w:ind w:left="900" w:right="160" w:hanging="383"/>
        <w:spacing w:after="0" w:line="312"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contracted personnel and employment costs attributed to research and development efforts, which includes management fees, salaries, share-based compensation expenses, bonus plans and payments to contractors who work for us for a fixed number of hours per week or per month;</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nonclinical research and development expenses of our product candidates;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spacing w:after="0" w:line="86"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clinical costs such as clinical trial insurance and other consultancy fees.</w:t>
      </w:r>
    </w:p>
    <w:p>
      <w:pPr>
        <w:spacing w:after="0" w:line="117" w:lineRule="exact"/>
        <w:rPr>
          <w:sz w:val="20"/>
          <w:szCs w:val="20"/>
          <w:color w:val="auto"/>
        </w:rPr>
      </w:pPr>
    </w:p>
    <w:p>
      <w:pPr>
        <w:ind w:right="40" w:firstLine="46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be significant as we advance our product candidates through clinical trials and pursue regulatory approval. The process of conducting the necessary clinical trials to obtain regulatory approval is costly and time-consuming. Clinical trials generally become larger and more costly to conduct as they advance into later stages and, in the future, we will be required to make estimates for expense accruals related to clinical trial expenses. At this time, we cannot reasonably estimate or know the nature, timing and estimated costs of the efforts that will be necessary to complete the development of our product candidates. See the section titled “</w:t>
      </w:r>
      <w:r>
        <w:rPr>
          <w:rFonts w:ascii="Times New Roman" w:cs="Times New Roman" w:eastAsia="Times New Roman" w:hAnsi="Times New Roman"/>
          <w:sz w:val="18"/>
          <w:szCs w:val="18"/>
          <w:i w:val="1"/>
          <w:iCs w:val="1"/>
          <w:color w:val="auto"/>
        </w:rPr>
        <w:t>Risk Factors—Risks Related to Our Product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Approval and Commercialization</w:t>
      </w:r>
      <w:r>
        <w:rPr>
          <w:rFonts w:ascii="Times New Roman" w:cs="Times New Roman" w:eastAsia="Times New Roman" w:hAnsi="Times New Roman"/>
          <w:sz w:val="18"/>
          <w:szCs w:val="18"/>
          <w:color w:val="auto"/>
        </w:rPr>
        <w:t>” contained in the Annual Report and Part II, Item 1A Risk Factors of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information regarding the risks associated with clinical development.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440" w:firstLine="469"/>
        <w:spacing w:after="0" w:line="282" w:lineRule="auto"/>
        <w:rPr>
          <w:sz w:val="20"/>
          <w:szCs w:val="20"/>
          <w:color w:val="auto"/>
        </w:rPr>
      </w:pPr>
      <w:r>
        <w:rPr>
          <w:rFonts w:ascii="Times New Roman" w:cs="Times New Roman" w:eastAsia="Times New Roman" w:hAnsi="Times New Roman"/>
          <w:sz w:val="18"/>
          <w:szCs w:val="18"/>
          <w:color w:val="auto"/>
        </w:rPr>
        <w:t>We recognize selling, general and administrative expenses on the accrual basis when incurred. These expenses mainly relate to consultant fees, employee costs, legal costs, marketing and communication, intellectual property costs and general overhead costs.</w:t>
      </w:r>
    </w:p>
    <w:p>
      <w:pPr>
        <w:spacing w:after="0" w:line="54" w:lineRule="exact"/>
        <w:rPr>
          <w:sz w:val="20"/>
          <w:szCs w:val="20"/>
          <w:color w:val="auto"/>
        </w:rPr>
      </w:pPr>
    </w:p>
    <w:p>
      <w:pPr>
        <w:ind w:right="80" w:firstLine="469"/>
        <w:spacing w:after="0" w:line="258" w:lineRule="auto"/>
        <w:rPr>
          <w:sz w:val="20"/>
          <w:szCs w:val="20"/>
          <w:color w:val="auto"/>
        </w:rPr>
      </w:pPr>
      <w:r>
        <w:rPr>
          <w:rFonts w:ascii="Times New Roman" w:cs="Times New Roman" w:eastAsia="Times New Roman" w:hAnsi="Times New Roman"/>
          <w:sz w:val="18"/>
          <w:szCs w:val="18"/>
          <w:color w:val="auto"/>
        </w:rPr>
        <w:t>Due to the general growth of the organization associated with administering ongoing and planned clinical trials and our focus on commercial preparedness, we expect that our selling, general and administrative expenses will increase. We may incur increased accounting, audit, legal, regulatory, compliance, director and officer insurance costs, as well as investor and public relations expenses associated with being a public company. Additionally, if and when a regulatory approval of a product candidate appears likely, we anticipate an increase in payroll and expenses as a result of our preparation for commercial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firstLine="469"/>
        <w:spacing w:after="0" w:line="282" w:lineRule="auto"/>
        <w:rPr>
          <w:sz w:val="20"/>
          <w:szCs w:val="20"/>
          <w:color w:val="auto"/>
        </w:rPr>
      </w:pPr>
      <w:r>
        <w:rPr>
          <w:rFonts w:ascii="Times New Roman" w:cs="Times New Roman" w:eastAsia="Times New Roman" w:hAnsi="Times New Roman"/>
          <w:sz w:val="18"/>
          <w:szCs w:val="18"/>
          <w:color w:val="auto"/>
        </w:rPr>
        <w:t>Interest income is recognized using the effective interest rate method. Interest income for the three months ended March 31, 2026 and 2025 is related to interest earned on cash, cash equivalents, restricted cash and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Foreign Exchange Gain/Loss</w:t>
      </w:r>
    </w:p>
    <w:p>
      <w:pPr>
        <w:spacing w:after="0" w:line="119" w:lineRule="exact"/>
        <w:rPr>
          <w:sz w:val="20"/>
          <w:szCs w:val="20"/>
          <w:color w:val="auto"/>
        </w:rPr>
      </w:pPr>
    </w:p>
    <w:p>
      <w:pPr>
        <w:ind w:right="560" w:firstLine="469"/>
        <w:spacing w:after="0" w:line="266" w:lineRule="auto"/>
        <w:rPr>
          <w:sz w:val="20"/>
          <w:szCs w:val="20"/>
          <w:color w:val="auto"/>
        </w:rPr>
      </w:pPr>
      <w:r>
        <w:rPr>
          <w:rFonts w:ascii="Times New Roman" w:cs="Times New Roman" w:eastAsia="Times New Roman" w:hAnsi="Times New Roman"/>
          <w:sz w:val="18"/>
          <w:szCs w:val="18"/>
          <w:color w:val="auto"/>
        </w:rPr>
        <w:t>Our exchange gain/loss relates mainly to cash balances denominated in foreign currencies, but also to transactions denominated in foreign currencies. Our foreign currency exposure is mainly related to the Euro. As of March 31, 2026, our net exposure to foreign currency risk was $ 80.9 million, as compared to $95.6 million as of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119" w:lineRule="exact"/>
        <w:rPr>
          <w:sz w:val="20"/>
          <w:szCs w:val="20"/>
          <w:color w:val="auto"/>
        </w:rPr>
      </w:pPr>
    </w:p>
    <w:p>
      <w:pPr>
        <w:ind w:right="60" w:firstLine="469"/>
        <w:spacing w:after="0" w:line="266" w:lineRule="auto"/>
        <w:rPr>
          <w:sz w:val="20"/>
          <w:szCs w:val="20"/>
          <w:color w:val="auto"/>
        </w:rPr>
      </w:pPr>
      <w:r>
        <w:rPr>
          <w:rFonts w:ascii="Times New Roman" w:cs="Times New Roman" w:eastAsia="Times New Roman" w:hAnsi="Times New Roman"/>
          <w:sz w:val="18"/>
          <w:szCs w:val="18"/>
          <w:color w:val="auto"/>
        </w:rPr>
        <w:t>We have a history of losses and therefore have incurred de minimis amounts of corporate tax. We expect to continue incurring losses as we continue to invest in our clinical and preclinical development programs. Consequently, any deferred tax assets are fully offset by a valuation allowance on our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operations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3"/>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366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5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020" w:type="dxa"/>
            <w:vAlign w:val="bottom"/>
            <w:vMerge w:val="continue"/>
          </w:tcPr>
          <w:p>
            <w:pPr>
              <w:spacing w:after="0"/>
              <w:rPr>
                <w:sz w:val="12"/>
                <w:szCs w:val="12"/>
                <w:color w:val="auto"/>
              </w:rPr>
            </w:pPr>
          </w:p>
        </w:tc>
        <w:tc>
          <w:tcPr>
            <w:tcW w:w="1440" w:type="dxa"/>
            <w:vAlign w:val="bottom"/>
            <w:tcBorders>
              <w:top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5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38,009</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44,751</w:t>
            </w:r>
          </w:p>
        </w:tc>
        <w:tc>
          <w:tcPr>
            <w:tcW w:w="5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(6,742)</w:t>
            </w:r>
          </w:p>
        </w:tc>
        <w:tc>
          <w:tcPr>
            <w:tcW w:w="0" w:type="dxa"/>
            <w:vAlign w:val="bottom"/>
          </w:tcPr>
          <w:p>
            <w:pPr>
              <w:spacing w:after="0"/>
              <w:rPr>
                <w:sz w:val="1"/>
                <w:szCs w:val="1"/>
                <w:color w:val="auto"/>
              </w:rPr>
            </w:pPr>
          </w:p>
        </w:tc>
      </w:tr>
      <w:tr>
        <w:trPr>
          <w:trHeight w:val="216"/>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23,451</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5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61,460</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71,903</w:t>
            </w:r>
          </w:p>
        </w:tc>
        <w:tc>
          <w:tcPr>
            <w:tcW w:w="5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(10,443)</w:t>
            </w:r>
          </w:p>
        </w:tc>
        <w:tc>
          <w:tcPr>
            <w:tcW w:w="0" w:type="dxa"/>
            <w:vAlign w:val="bottom"/>
          </w:tcPr>
          <w:p>
            <w:pPr>
              <w:spacing w:after="0"/>
              <w:rPr>
                <w:sz w:val="1"/>
                <w:szCs w:val="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(58,420)</w:t>
            </w:r>
          </w:p>
        </w:tc>
        <w:tc>
          <w:tcPr>
            <w:tcW w:w="2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(68,925)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5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Fair value change - earnout</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5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(3,992)</w:t>
            </w:r>
          </w:p>
        </w:tc>
        <w:tc>
          <w:tcPr>
            <w:tcW w:w="0" w:type="dxa"/>
            <w:vAlign w:val="bottom"/>
          </w:tcPr>
          <w:p>
            <w:pPr>
              <w:spacing w:after="0"/>
              <w:rPr>
                <w:sz w:val="1"/>
                <w:szCs w:val="1"/>
                <w:color w:val="auto"/>
              </w:rPr>
            </w:pPr>
          </w:p>
        </w:tc>
      </w:tr>
      <w:tr>
        <w:trPr>
          <w:trHeight w:val="216"/>
        </w:trPr>
        <w:tc>
          <w:tcPr>
            <w:tcW w:w="6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Fair value change -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5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(7,820)</w:t>
            </w: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exchange gains/(losses)</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(1,613)</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5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0"/>
        </w:trPr>
        <w:tc>
          <w:tcPr>
            <w:tcW w:w="60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(48,441)</w:t>
            </w:r>
          </w:p>
        </w:tc>
        <w:tc>
          <w:tcPr>
            <w:tcW w:w="2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(39,527)</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(8,914)</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(48,441)</w:t>
            </w:r>
          </w:p>
        </w:tc>
        <w:tc>
          <w:tcPr>
            <w:tcW w:w="2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(39,527)</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-1851025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-1851025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-1285240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-1285240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-454025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-454025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Explanatory Note to Aid Comparison</w:t>
      </w:r>
    </w:p>
    <w:p>
      <w:pPr>
        <w:spacing w:after="0" w:line="119" w:lineRule="exact"/>
        <w:rPr>
          <w:sz w:val="20"/>
          <w:szCs w:val="20"/>
          <w:color w:val="auto"/>
        </w:rPr>
      </w:pPr>
    </w:p>
    <w:p>
      <w:pPr>
        <w:ind w:right="120" w:firstLine="464"/>
        <w:spacing w:after="0" w:line="258" w:lineRule="auto"/>
        <w:rPr>
          <w:sz w:val="20"/>
          <w:szCs w:val="20"/>
          <w:color w:val="auto"/>
        </w:rPr>
      </w:pPr>
      <w:r>
        <w:rPr>
          <w:rFonts w:ascii="Times New Roman" w:cs="Times New Roman" w:eastAsia="Times New Roman" w:hAnsi="Times New Roman"/>
          <w:sz w:val="18"/>
          <w:szCs w:val="18"/>
          <w:color w:val="auto"/>
        </w:rPr>
        <w:t>In prior periods, including the three months ended March 31, 2025, costs related to medical affairs activities and personnel were classified within selling, general and administrative expenses. Due to changes in the nature of activities performed by our medical affairs function, certain such costs, including personnel costs, are classified in accordance with U.S. GAAP as research and development expenses in the three months ended March 31, 2026. Costs associated with our medical affairs function totaled $5.1 million in the three months ended March 31, 2025, of which $3.0 million were personnel costs, compared to total costs of $4.5 million in the three months ended March 31, 2026, of which $3.2 million were personnel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right="180" w:firstLine="469"/>
        <w:spacing w:after="0" w:line="266" w:lineRule="auto"/>
        <w:rPr>
          <w:sz w:val="20"/>
          <w:szCs w:val="20"/>
          <w:color w:val="auto"/>
        </w:rPr>
      </w:pPr>
      <w:r>
        <w:rPr>
          <w:rFonts w:ascii="Times New Roman" w:cs="Times New Roman" w:eastAsia="Times New Roman" w:hAnsi="Times New Roman"/>
          <w:sz w:val="18"/>
          <w:szCs w:val="18"/>
          <w:color w:val="auto"/>
        </w:rPr>
        <w:t>Revenue was $3.0 million for the three months ended March 31, 2026 compared to $3.0 million for the three months ended March 31, 2025. Revenue for the three months ended March 31, 2025 was due to recognition of deferred revenue related to the R&amp;D performance obligation. Revenue for the three months ended March 31, 2026 was related to the Menarini Supply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00" w:firstLine="46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$38.0 million for the three months ended March 31, 2026 compared to $44.8 million for the three months ended March 31, 2025, a decrease of $6.8 million or 15%. This was primarily driven by:</w:t>
      </w:r>
    </w:p>
    <w:p>
      <w:pPr>
        <w:spacing w:after="0" w:line="54"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$8.3 million decrease in clinical expenses primarily due to the completion of Phase 3 clinical trials in the first half of 2025;</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decrease in non-clinical expenses primarily due to reduced activity related to pipeline expansion and product lifecycle management;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900" w:right="80" w:hanging="383"/>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 million increase in personnel expenses related to research and development activities, including the impact of including medical affairs related personnel costs in the current period, as discussed above. The remainder of the change is primarily driven by increased recruitment and employment costs for individuals involved within the research and development activities to support the growth of the organization, together with an offsetting $3.3 million decrease related to a payroll tax relief grant received in the Netherlands;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 w:name="page22"/>
    <w:bookmarkEnd w:id="21"/>
    <w:p>
      <w:pPr>
        <w:spacing w:after="0" w:line="86" w:lineRule="exact"/>
        <w:rPr>
          <w:sz w:val="20"/>
          <w:szCs w:val="20"/>
          <w:color w:val="auto"/>
        </w:rPr>
      </w:pPr>
    </w:p>
    <w:p>
      <w:pPr>
        <w:ind w:left="900" w:right="6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increase in manufacturing expenses driven by a $4.9 million increase related to initial supply activities, partially offset by a $3.2 million decrease associated with commercial manufacturing capability investments made in the comparative period.</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31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3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0" w:type="dxa"/>
            <w:vAlign w:val="bottom"/>
            <w:vMerge w:val="continue"/>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15,680</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24,010</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(8,330)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Non-clinical expenses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5,283</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11,309</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8,566</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Regulatory expenses</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701</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1,017</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38,009</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44,751</w:t>
            </w: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(6,742)</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120" w:firstLine="46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$23.5 million for the three months ended March 31, 2026 compared to $27.2 million for the three months ended March 31, 2025, a decrease of $3.7 million or 14%. This was primarily driven by:</w:t>
      </w:r>
    </w:p>
    <w:p>
      <w:pPr>
        <w:spacing w:after="0" w:line="54" w:lineRule="exact"/>
        <w:rPr>
          <w:sz w:val="20"/>
          <w:szCs w:val="20"/>
          <w:color w:val="auto"/>
        </w:rPr>
      </w:pPr>
    </w:p>
    <w:p>
      <w:pPr>
        <w:ind w:left="900" w:right="34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$3.8 million decrease in marketing and communication expenses. The decrease is primarily driven by the change in the nature of medical affairs related costs, as described above, together with a $1.4 million reduction driven by lower market research spending;</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in legal expenses primarily due to the transition of legal advisory services in-house;</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$0.7 million decrease in intellectual property costs primarily driven by worldwide patent filings incurred in the comparative period, which did not recur in the current period; and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900" w:right="20" w:hanging="383"/>
        <w:spacing w:after="0" w:line="261"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 million increase in personnel expenses related to selling, general and administrative activities, including the impact of excluding medical affairs related personnel costs in the current period, as discussed above. The remainder of the change is primarily driven by increased recruitment and employment costs for individuals involved with administrative and commercial preparedness activities to support the growth of the organization and operation as a public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40" w:firstLine="469"/>
        <w:spacing w:after="0" w:line="266" w:lineRule="auto"/>
        <w:rPr>
          <w:sz w:val="20"/>
          <w:szCs w:val="20"/>
          <w:color w:val="auto"/>
        </w:rPr>
      </w:pPr>
      <w:r>
        <w:rPr>
          <w:rFonts w:ascii="Times New Roman" w:cs="Times New Roman" w:eastAsia="Times New Roman" w:hAnsi="Times New Roman"/>
          <w:sz w:val="18"/>
          <w:szCs w:val="18"/>
          <w:color w:val="auto"/>
        </w:rPr>
        <w:t>Interest income was $5.7 million for the three months ended March 31, 2026 compared to $7.4 million for the three months ended March 31, 2025, a decrease of $1.7 million or 23%. This was largely driven by a decrease in the amount of cash, cash equivalents and marketable debt securities on which interest is earned.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Change - Earnout</w:t>
      </w:r>
    </w:p>
    <w:p>
      <w:pPr>
        <w:spacing w:after="0" w:line="119" w:lineRule="exact"/>
        <w:rPr>
          <w:sz w:val="20"/>
          <w:szCs w:val="20"/>
          <w:color w:val="auto"/>
        </w:rPr>
      </w:pPr>
    </w:p>
    <w:p>
      <w:pPr>
        <w:ind w:right="60" w:firstLine="464"/>
        <w:spacing w:after="0" w:line="282" w:lineRule="auto"/>
        <w:rPr>
          <w:sz w:val="20"/>
          <w:szCs w:val="20"/>
          <w:color w:val="auto"/>
        </w:rPr>
      </w:pPr>
      <w:r>
        <w:rPr>
          <w:rFonts w:ascii="Times New Roman" w:cs="Times New Roman" w:eastAsia="Times New Roman" w:hAnsi="Times New Roman"/>
          <w:sz w:val="18"/>
          <w:szCs w:val="18"/>
          <w:color w:val="auto"/>
        </w:rPr>
        <w:t>Fair value change - earnout was nil for the three months ended March 31, 2026 compared to a gain of $4.0 million for the three months ended March 31, 2025. The earnout liability was settled in full in March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Change - Warrants</w:t>
      </w:r>
    </w:p>
    <w:p>
      <w:pPr>
        <w:spacing w:after="0" w:line="119"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8"/>
          <w:szCs w:val="18"/>
          <w:color w:val="auto"/>
        </w:rPr>
        <w:t>Fair value change - warrants was a gain of $5.9 million for the three months ended March 31, 2026 compared to a gain of $13.8 million for the three months ended March 31, 2025. Prior to 2026, the fair value of the Warrants was determined using the last reported trading price of the Public Warrants, which trade under the symbol “NAMSW.” Beginning in 2026, due to a decrease in the trading volume of the Public Warrants, the fair value of the Warrants is determined by utilizing the Black-Scholes option pricing model. The primary driver of the change in fair value of the Warrants derived by such pricing method is the change in the trading price of the Company's Ordinary Shares, which trade under the symbol “NAMS.”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Gains/(Losses)</w:t>
      </w:r>
    </w:p>
    <w:p>
      <w:pPr>
        <w:spacing w:after="0" w:line="119" w:lineRule="exact"/>
        <w:rPr>
          <w:sz w:val="20"/>
          <w:szCs w:val="20"/>
          <w:color w:val="auto"/>
        </w:rPr>
      </w:pPr>
    </w:p>
    <w:p>
      <w:pPr>
        <w:ind w:firstLine="464"/>
        <w:spacing w:after="0" w:line="266" w:lineRule="auto"/>
        <w:rPr>
          <w:sz w:val="20"/>
          <w:szCs w:val="20"/>
          <w:color w:val="auto"/>
        </w:rPr>
      </w:pPr>
      <w:r>
        <w:rPr>
          <w:rFonts w:ascii="Times New Roman" w:cs="Times New Roman" w:eastAsia="Times New Roman" w:hAnsi="Times New Roman"/>
          <w:sz w:val="18"/>
          <w:szCs w:val="18"/>
          <w:color w:val="auto"/>
        </w:rPr>
        <w:t>Net foreign exchange gains/(losses) were a loss of $1.6 million for the three months ended March 31, 2026 compared to a gain of $4.3 million for the three months ended March 31, 2025. This change was largely driven by movements in the exchange rate for Euros which is our primary foreign currency exposure.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for the Period</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Loss for the period was $48.4 million for the three months ended March 31, 2026 compared to $39.5 million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individual components of the change are described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right="220" w:firstLine="464"/>
        <w:spacing w:after="0" w:line="261" w:lineRule="auto"/>
        <w:rPr>
          <w:sz w:val="20"/>
          <w:szCs w:val="20"/>
          <w:color w:val="auto"/>
        </w:rPr>
      </w:pPr>
      <w:r>
        <w:rPr>
          <w:rFonts w:ascii="Times New Roman" w:cs="Times New Roman" w:eastAsia="Times New Roman" w:hAnsi="Times New Roman"/>
          <w:sz w:val="18"/>
          <w:szCs w:val="18"/>
          <w:color w:val="auto"/>
        </w:rPr>
        <w:t>To date, we have devoted substantially all of our resources to organizing and staffing our company, business planning, raising capital, undertaking preclinical studies and conducting clinical trials of obicetrapib. As a result, we are not yet profitable and have incurred losses in each annual period since our inception. As of March 31, 2026, we had an accumulated loss of $810.8 million. We expect to continue to incur significant losses for the foreseeable future.</w:t>
      </w:r>
    </w:p>
    <w:p>
      <w:pPr>
        <w:spacing w:after="0" w:line="72" w:lineRule="exact"/>
        <w:rPr>
          <w:sz w:val="20"/>
          <w:szCs w:val="20"/>
          <w:color w:val="auto"/>
        </w:rPr>
      </w:pPr>
    </w:p>
    <w:p>
      <w:pPr>
        <w:jc w:val="both"/>
        <w:ind w:right="120" w:firstLine="464"/>
        <w:spacing w:after="0" w:line="266" w:lineRule="auto"/>
        <w:rPr>
          <w:sz w:val="20"/>
          <w:szCs w:val="20"/>
          <w:color w:val="auto"/>
        </w:rPr>
      </w:pPr>
      <w:r>
        <w:rPr>
          <w:rFonts w:ascii="Times New Roman" w:cs="Times New Roman" w:eastAsia="Times New Roman" w:hAnsi="Times New Roman"/>
          <w:sz w:val="18"/>
          <w:szCs w:val="18"/>
          <w:color w:val="auto"/>
        </w:rPr>
        <w:t>We have historically funded our operations primarily through private and public placements of shares, the sale of convertible notes, proceeds from the Menarini License and the proceeds from the closing of the transactions contemplated by the Business Combination Agreement. As of March 31, 2026, we had cash, cash equivalents and marketable securities of $707.3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Menarini License and Menarini Supply Agreement</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On June 23, 2022, we entered into the Menarini License, pursuant to which we granted Menarini an exclusive, royalty-bearing, sublicensable license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certain of our intellectual property and our regulatory documentation to undertake post approval development activities and commercialize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Products (as defined in the Menarini License), for any use in the Menarini Territory (as defined in the Menarini License).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Menarini License, Menarini made a non-refundable, non-creditable upfront payment to us of €115 million. Menarini has also committed to providing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 million in funding for the research and development activities related to the Licensed Products over two years, all of which has been received to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bearing 50% of any development costs incurred in respect of the pediatric population in the Menarini Territory. We are also eligible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up to €863 million upon the achievement of various clinical, regulatory and commercial milestones, of which €30 million has been received to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obicetrapib is approved, and successfully commercialized by Menarini, we will be entitled to tiered royalties ranging from the low double-digits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mid-twenties as a percentage of net sales in the Menarini Territory, with royalty step-downs in the event of generic entrance or in respect of required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intellectual property payments. See the section titled “</w:t>
      </w:r>
      <w:r>
        <w:rPr>
          <w:rFonts w:ascii="Times New Roman" w:cs="Times New Roman" w:eastAsia="Times New Roman" w:hAnsi="Times New Roman"/>
          <w:sz w:val="18"/>
          <w:szCs w:val="18"/>
          <w:i w:val="1"/>
          <w:iCs w:val="1"/>
          <w:color w:val="auto"/>
        </w:rPr>
        <w:t>Business—Commercial</w:t>
      </w:r>
      <w:r>
        <w:rPr>
          <w:rFonts w:ascii="Times New Roman" w:cs="Times New Roman" w:eastAsia="Times New Roman" w:hAnsi="Times New Roman"/>
          <w:sz w:val="18"/>
          <w:szCs w:val="18"/>
          <w:color w:val="auto"/>
        </w:rPr>
        <w:t>” contained in our Annual Report for a full description of the Menarini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w:t>
      </w:r>
    </w:p>
    <w:p>
      <w:pPr>
        <w:spacing w:after="0" w:line="99" w:lineRule="exact"/>
        <w:rPr>
          <w:sz w:val="20"/>
          <w:szCs w:val="20"/>
          <w:color w:val="auto"/>
        </w:rPr>
      </w:pPr>
    </w:p>
    <w:p>
      <w:pPr>
        <w:ind w:right="560" w:firstLine="469"/>
        <w:spacing w:after="0" w:line="282" w:lineRule="auto"/>
        <w:rPr>
          <w:sz w:val="20"/>
          <w:szCs w:val="20"/>
          <w:color w:val="auto"/>
        </w:rPr>
      </w:pPr>
      <w:r>
        <w:rPr>
          <w:rFonts w:ascii="Times New Roman" w:cs="Times New Roman" w:eastAsia="Times New Roman" w:hAnsi="Times New Roman"/>
          <w:sz w:val="18"/>
          <w:szCs w:val="18"/>
          <w:color w:val="auto"/>
        </w:rPr>
        <w:t>As of March 31, 2026, we have received a total of €30 million in milestone payments from Menarini, none of which was received in the three months ended March 31, 2026.</w:t>
      </w:r>
    </w:p>
    <w:p>
      <w:pPr>
        <w:spacing w:after="0" w:line="54" w:lineRule="exact"/>
        <w:rPr>
          <w:sz w:val="20"/>
          <w:szCs w:val="20"/>
          <w:color w:val="auto"/>
        </w:rPr>
      </w:pPr>
    </w:p>
    <w:p>
      <w:pPr>
        <w:ind w:right="160" w:firstLine="469"/>
        <w:spacing w:after="0" w:line="261" w:lineRule="auto"/>
        <w:rPr>
          <w:sz w:val="20"/>
          <w:szCs w:val="20"/>
          <w:color w:val="auto"/>
        </w:rPr>
      </w:pPr>
      <w:r>
        <w:rPr>
          <w:rFonts w:ascii="Times New Roman" w:cs="Times New Roman" w:eastAsia="Times New Roman" w:hAnsi="Times New Roman"/>
          <w:sz w:val="18"/>
          <w:szCs w:val="18"/>
          <w:color w:val="auto"/>
        </w:rPr>
        <w:t>On August 12, 2025, we entered into the Menarini Supply Agreement, pursuant to which we will supply Menarini with the Drug Products. We will initially be Menarini’s exclusive supplier of the Drug Products and fulfill purchase orders based on periodic volume forecasts that Menarini is required to provide, a portion of which will be binding. The price to be paid by Menarini will be based on a specified mark-up to our “cost of goods sold” for the supplied Drug Products (as determined in accordance with the supply agreement), subject to periodic adjustments.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2024 Follow-on Offering</w:t>
      </w:r>
    </w:p>
    <w:p>
      <w:pPr>
        <w:spacing w:after="0" w:line="119" w:lineRule="exact"/>
        <w:rPr>
          <w:sz w:val="20"/>
          <w:szCs w:val="20"/>
          <w:color w:val="auto"/>
        </w:rPr>
      </w:pPr>
    </w:p>
    <w:p>
      <w:pPr>
        <w:ind w:right="240" w:firstLine="469"/>
        <w:spacing w:after="0" w:line="289" w:lineRule="auto"/>
        <w:rPr>
          <w:sz w:val="20"/>
          <w:szCs w:val="20"/>
          <w:color w:val="auto"/>
        </w:rPr>
      </w:pPr>
      <w:r>
        <w:rPr>
          <w:rFonts w:ascii="Times New Roman" w:cs="Times New Roman" w:eastAsia="Times New Roman" w:hAnsi="Times New Roman"/>
          <w:sz w:val="17"/>
          <w:szCs w:val="17"/>
          <w:color w:val="auto"/>
        </w:rPr>
        <w:t>On December 13, 2024, we completed an underwritten public offering (the “December 2024 Offering”) of 14,667,347 Ordinary Shares at a public offering price of $24.50 per Ordinary Share and, in lieu of Ordinary Shares to certain investors, Pre-Funded Warrants to purchase 4,882,653 Ordinary Shares at a public offering price of $24.4999 per Pre-Funded Warrant, which represents the per share public offering price for the Ordinary Shares, less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$0.0001 per share exercise price for each such Pre-Funded Warrant. Of the 14,667,347 Ordinary Shares issued and sold in the December 2024 Offering, 2,550,000 Ordinary Shares were issued and sold pursuant to the exercise of the underwriters’ option to purchase additional Ordinary Shares at the public offering price per share. The net proceeds to the Company from the December 2024 Offering were $453.4 million after deducting underwriting discounts and commissions and offering expenses payable by the Company.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Follow-on Offering</w:t>
      </w:r>
    </w:p>
    <w:p>
      <w:pPr>
        <w:spacing w:after="0" w:line="119" w:lineRule="exact"/>
        <w:rPr>
          <w:sz w:val="20"/>
          <w:szCs w:val="20"/>
          <w:color w:val="auto"/>
        </w:rPr>
      </w:pPr>
    </w:p>
    <w:p>
      <w:pPr>
        <w:ind w:right="120" w:firstLine="469"/>
        <w:spacing w:after="0" w:line="255" w:lineRule="auto"/>
        <w:rPr>
          <w:sz w:val="20"/>
          <w:szCs w:val="20"/>
          <w:color w:val="auto"/>
        </w:rPr>
      </w:pPr>
      <w:r>
        <w:rPr>
          <w:rFonts w:ascii="Times New Roman" w:cs="Times New Roman" w:eastAsia="Times New Roman" w:hAnsi="Times New Roman"/>
          <w:sz w:val="18"/>
          <w:szCs w:val="18"/>
          <w:color w:val="auto"/>
        </w:rPr>
        <w:t>On February 16, 2024, we completed an underwritten public offering (the “February 2024 Offering”) of 5,871,909 Ordinary Shares at a public offering price of $19.00 per Ordinary Share and, in lieu of Ordinary Shares to certain investors, Pre-Funded Warrants to purchase 4,736,841 Ordinary Shares at a public offering price of $18.9999 per Pre-Funded Warrant, which represents the per share public offering price for the Ordinary Shares less the $0.0001 per share exercise price for each such Pre-Funded Warrant. Of the 5,871,909 Ordinary Shares issued and sold in the February 2024 Offering, 1,383,750 Ordinary Shares were issued and sold pursuant to the exercise of the underwriters’ option to purchase additional Ordinary Shares at the public offering price per share. The net proceeds to the Company from the February 2024 Offering were $190.0 million after deducting underwriting discounts and commissions and offering expenses payable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119"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color w:val="auto"/>
        </w:rPr>
        <w:t>On August 9, 2024, we entered into an amended and restated sales agreement (the “Sales Agreement”) with Cowen and Company, LLC (“TD Cowen”), pursuant to which we may issue and sell from time to time up to $250 million of our Ordinary Shares through or to TD Cowen as our sales agent or acting as principal in any method deemed to be an “at the market offering.” TD Cowen will receive a commission of up to 3.0% of the gross proceeds of any Ordinary Shares sold pursuant to the Sales Agreement. During the three months ended March 31, 2026, we did not sell any Ordinary Shares pursuant to the Sales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right="20" w:firstLine="469"/>
        <w:spacing w:after="0" w:line="252" w:lineRule="auto"/>
        <w:rPr>
          <w:sz w:val="20"/>
          <w:szCs w:val="20"/>
          <w:color w:val="auto"/>
        </w:rPr>
      </w:pPr>
      <w:r>
        <w:rPr>
          <w:rFonts w:ascii="Times New Roman" w:cs="Times New Roman" w:eastAsia="Times New Roman" w:hAnsi="Times New Roman"/>
          <w:sz w:val="18"/>
          <w:szCs w:val="18"/>
          <w:color w:val="auto"/>
        </w:rPr>
        <w:t>In the three months ended March 31, 2026, 56,619 Warrants were exercised at an exercise price of $11.50 per Ordinary Share generating gross proceeds of $0.7 million. As of March 31, 2026, we had another 2,433,485 outstanding Warrants to purchase 2,433,485 Ordinary Shares, exercisable at an exercise price of $11.50 per share, which expire on November 23, 2027, at 5:00 p.m., Eastern Standard Time. Based on the exercise price of the Warrants, we may receive up to $28.0 million assuming the exercise of all Warrants outstanding as of March 31, 2026. The exercise of the Warrants, and any proceeds we may receive from their exercise, are highly dependent on the price of our Ordinary Shares and the spread between the exercise price of the Warrant and the price of an Ordinary Share at the time of exercise. For example, to the extent that the trading price of the Ordinary Shares exceeds $11.50 per share, it is more likely that holders of our Warrants will exercise their Warrants. If the trading price of the Ordinary Shares is less than $11.50 per share, it is unlikely that such holders will exercise their Warrants. The exercise price of the Warrants has at times exceeded the market price of the Ordinary Shares. To the extent that the price of our Ordinary Shares is below $11.50, we believe that the Warrant holders will be unlikely to cash exercise their warrants, resulting in little to no cash proceeds to us. There can be no assurance that our Warrants will be in the money prior to their expiration and, as such, certain unexercised Warrants may expire worthless. As such, it is possible that we may never generate any additional cash proceeds from the exercise of our Warrants. We have not included, and do not intend to include, any potential cash proceeds from the exercise of our Warrants in our short-term or long-term liquidity projections. We will continue to evaluate the probability that the Warrants are exercised over the life of our Warrants and the merit of including potential cash proceeds from the exercise thereof in our liquidity projections.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cash flows for the three months ended March 31, 2026 and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440" w:type="dxa"/>
            <w:vAlign w:val="bottom"/>
            <w:gridSpan w:val="3"/>
          </w:tcPr>
          <w:p>
            <w:pPr>
              <w:jc w:val="center"/>
              <w:ind w:left="896"/>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of USD)</w:t>
            </w:r>
          </w:p>
        </w:tc>
        <w:tc>
          <w:tcPr>
            <w:tcW w:w="2440" w:type="dxa"/>
            <w:vAlign w:val="bottom"/>
            <w:tcBorders>
              <w:bottom w:val="single" w:sz="8" w:color="auto"/>
            </w:tcBorders>
            <w:gridSpan w:val="3"/>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80" w:type="dxa"/>
            <w:vAlign w:val="bottom"/>
            <w:vMerge w:val="continue"/>
          </w:tcPr>
          <w:p>
            <w:pPr>
              <w:spacing w:after="0"/>
              <w:rPr>
                <w:sz w:val="12"/>
                <w:szCs w:val="12"/>
                <w:color w:val="auto"/>
              </w:rPr>
            </w:pPr>
          </w:p>
        </w:tc>
        <w:tc>
          <w:tcPr>
            <w:tcW w:w="1620" w:type="dxa"/>
            <w:vAlign w:val="bottom"/>
            <w:tcBorders>
              <w:bottom w:val="single" w:sz="8" w:color="auto"/>
            </w:tcBorders>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(30,604)</w:t>
            </w: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(36,468)</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(11,509)</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differences</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(1,332)</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491,323</w:t>
            </w:r>
          </w:p>
        </w:tc>
        <w:tc>
          <w:tcPr>
            <w:tcW w:w="2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771,743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458,943</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Used In Operating Activities</w:t>
      </w:r>
    </w:p>
    <w:p>
      <w:pPr>
        <w:spacing w:after="0" w:line="119" w:lineRule="exact"/>
        <w:rPr>
          <w:sz w:val="20"/>
          <w:szCs w:val="20"/>
          <w:color w:val="auto"/>
        </w:rPr>
      </w:pPr>
    </w:p>
    <w:p>
      <w:pPr>
        <w:ind w:right="20" w:firstLine="464"/>
        <w:spacing w:after="0" w:line="266" w:lineRule="auto"/>
        <w:rPr>
          <w:sz w:val="20"/>
          <w:szCs w:val="20"/>
          <w:color w:val="auto"/>
        </w:rPr>
      </w:pPr>
      <w:r>
        <w:rPr>
          <w:rFonts w:ascii="Times New Roman" w:cs="Times New Roman" w:eastAsia="Times New Roman" w:hAnsi="Times New Roman"/>
          <w:sz w:val="18"/>
          <w:szCs w:val="18"/>
          <w:color w:val="auto"/>
        </w:rPr>
        <w:t>Net cash flows used in operating activities was $30.6 million in the three months ended March 31, 2026 compared to $36.5 million in the three months ended March 31, 2025, a decrease of $5.9 million. This change was primarily due to a reduction in operating expenses for the period partially offset by a change in working capital resulting from a decrease in accrued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(Used In)/Provided By Investing Activities</w:t>
      </w:r>
    </w:p>
    <w:p>
      <w:pPr>
        <w:spacing w:after="0" w:line="119" w:lineRule="exact"/>
        <w:rPr>
          <w:sz w:val="20"/>
          <w:szCs w:val="20"/>
          <w:color w:val="auto"/>
        </w:rPr>
      </w:pPr>
    </w:p>
    <w:p>
      <w:pPr>
        <w:ind w:right="220" w:firstLine="464"/>
        <w:spacing w:after="0" w:line="266" w:lineRule="auto"/>
        <w:rPr>
          <w:sz w:val="20"/>
          <w:szCs w:val="20"/>
          <w:color w:val="auto"/>
        </w:rPr>
      </w:pPr>
      <w:r>
        <w:rPr>
          <w:rFonts w:ascii="Times New Roman" w:cs="Times New Roman" w:eastAsia="Times New Roman" w:hAnsi="Times New Roman"/>
          <w:sz w:val="18"/>
          <w:szCs w:val="18"/>
          <w:color w:val="auto"/>
        </w:rPr>
        <w:t>Net cash flows (used in)/provided by investing activities was $11.5 million in the three months ended March 31, 2026 compared to $2.9 million in the three months ended March 31, 2025, a change of $14.4 million. The change is primarily attributable to the purchases and maturities of marketable securities.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Provided By Financing Activities</w:t>
      </w:r>
    </w:p>
    <w:p>
      <w:pPr>
        <w:spacing w:after="0" w:line="119" w:lineRule="exact"/>
        <w:rPr>
          <w:sz w:val="20"/>
          <w:szCs w:val="20"/>
          <w:color w:val="auto"/>
        </w:rPr>
      </w:pPr>
    </w:p>
    <w:p>
      <w:pPr>
        <w:jc w:val="both"/>
        <w:ind w:right="220" w:firstLine="464"/>
        <w:spacing w:after="0" w:line="282" w:lineRule="auto"/>
        <w:rPr>
          <w:sz w:val="20"/>
          <w:szCs w:val="20"/>
          <w:color w:val="auto"/>
        </w:rPr>
      </w:pPr>
      <w:r>
        <w:rPr>
          <w:rFonts w:ascii="Times New Roman" w:cs="Times New Roman" w:eastAsia="Times New Roman" w:hAnsi="Times New Roman"/>
          <w:sz w:val="18"/>
          <w:szCs w:val="18"/>
          <w:color w:val="auto"/>
        </w:rPr>
        <w:t>Net cash flows provided by financing activities was $11.1 million in the three months ended March 31, 2026 compared to $6.5 million in the three months ended March 31, 2025, an increase of $4.6 million. The increase primarily reflects an increase in proceeds received upon the exercise of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Service Agreements</w:t>
      </w:r>
    </w:p>
    <w:p>
      <w:pPr>
        <w:spacing w:after="0" w:line="119" w:lineRule="exact"/>
        <w:rPr>
          <w:sz w:val="20"/>
          <w:szCs w:val="20"/>
          <w:color w:val="auto"/>
        </w:rPr>
      </w:pPr>
    </w:p>
    <w:p>
      <w:pPr>
        <w:ind w:right="20" w:firstLine="469"/>
        <w:spacing w:after="0" w:line="255" w:lineRule="auto"/>
        <w:rPr>
          <w:sz w:val="20"/>
          <w:szCs w:val="20"/>
          <w:color w:val="auto"/>
        </w:rPr>
      </w:pPr>
      <w:r>
        <w:rPr>
          <w:rFonts w:ascii="Times New Roman" w:cs="Times New Roman" w:eastAsia="Times New Roman" w:hAnsi="Times New Roman"/>
          <w:sz w:val="18"/>
          <w:szCs w:val="18"/>
          <w:color w:val="auto"/>
        </w:rPr>
        <w:t>We have entered into a variety of agreements and financial commitments in the normal course of business with CROs, CMOs, and other third parties for preclinical and clinical development and manufacturing services. The terms generally provide us with the option to cancel, reschedule and adjust our requirements based on our business needs, prior to the delivery of goods or performance of services. Payments due upon cancellation generally consist only of payments for services provided or expenses incurred, including non-cancelable obligations of our service providers, up to the date of cancellation. However, some of our service providers also charge cancellation fees upon cancellation. The amount and timing of such payments are not known, but at March 31, 2026 they are estimated to be a maximum of $29.5 million due within one year and $8.9 million due in more than a year. As at March 31, 2026, we had cash, cash equivalents and marketable securities of $707.3 million which is sufficient to fund these obligations.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80" w:firstLine="469"/>
        <w:spacing w:after="0" w:line="255" w:lineRule="auto"/>
        <w:rPr>
          <w:sz w:val="20"/>
          <w:szCs w:val="20"/>
          <w:color w:val="auto"/>
        </w:rPr>
      </w:pPr>
      <w:r>
        <w:rPr>
          <w:rFonts w:ascii="Times New Roman" w:cs="Times New Roman" w:eastAsia="Times New Roman" w:hAnsi="Times New Roman"/>
          <w:sz w:val="18"/>
          <w:szCs w:val="18"/>
          <w:color w:val="auto"/>
        </w:rPr>
        <w:t>We are party to a services agreement (the “Naarden Lease”) pursuant to which an affiliate of Forbion leased us office space; an office lease agreement with Renaissance Aventura LLC, dated May 24, 2021, as amended April 9, 2024 and March 11, 2026 (as amended, the “Miami Lease”), and an office sublease agreement with GR8 People, Inc., dated April 2, 2024 (the “Yardley Lease”). Under the Naarden Lease, we are obligated to pay €40 thousand per year in rent. The Naarden Lease will continue until terminated by either us or the landlord. Pursuant to the Miami Lease, we were required to pay annual rent ranging from $75 thousand to $82 thousand, increasing from the low end of the range to the higher end of the range for each year of the lease. The Miami Lease expired by its terms on April 30, 2026. Pursuant to the Yardley Lease, we were required to pay annual rent ranging from $189 thousand to $194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thousand, increasing from the low end of the range to the higher end of the range for each year of the lease. The Yardley Lease expired by its terms on April 30,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Menarini License</w:t>
      </w:r>
    </w:p>
    <w:p>
      <w:pPr>
        <w:spacing w:after="0" w:line="119" w:lineRule="exact"/>
        <w:rPr>
          <w:sz w:val="20"/>
          <w:szCs w:val="20"/>
          <w:color w:val="auto"/>
        </w:rPr>
      </w:pPr>
    </w:p>
    <w:p>
      <w:pPr>
        <w:ind w:firstLine="469"/>
        <w:spacing w:after="0" w:line="261" w:lineRule="auto"/>
        <w:rPr>
          <w:sz w:val="20"/>
          <w:szCs w:val="20"/>
          <w:color w:val="auto"/>
        </w:rPr>
      </w:pPr>
      <w:r>
        <w:rPr>
          <w:rFonts w:ascii="Times New Roman" w:cs="Times New Roman" w:eastAsia="Times New Roman" w:hAnsi="Times New Roman"/>
          <w:sz w:val="18"/>
          <w:szCs w:val="18"/>
          <w:color w:val="auto"/>
        </w:rPr>
        <w:t>We will be responsible for the development and commercialization costs related to Licensed Products (as defined in the Menarini License) other than those in the Menarini Territory (as defined in the Menarini License). In addition, under specified conditions of the agreement, we agreed to bear 50% of certain development costs incurred by the other party in the development of the Licensed Products in the Menarini Territory. See the section entitled “</w:t>
      </w:r>
      <w:r>
        <w:rPr>
          <w:rFonts w:ascii="Times New Roman" w:cs="Times New Roman" w:eastAsia="Times New Roman" w:hAnsi="Times New Roman"/>
          <w:sz w:val="18"/>
          <w:szCs w:val="18"/>
          <w:i w:val="1"/>
          <w:iCs w:val="1"/>
          <w:color w:val="auto"/>
        </w:rPr>
        <w:t>Business—Marketing and Sales</w:t>
      </w:r>
      <w:r>
        <w:rPr>
          <w:rFonts w:ascii="Times New Roman" w:cs="Times New Roman" w:eastAsia="Times New Roman" w:hAnsi="Times New Roman"/>
          <w:sz w:val="18"/>
          <w:szCs w:val="18"/>
          <w:color w:val="auto"/>
        </w:rPr>
        <w:t>” contained in the Annual Report on Form 10-K for a description of the Menarini License.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U.S. GAAP requires management to make estimates and assumptions that affect the reported amounts of assets and liabilities at the date of the consolidated financial statements and the reported amounts of revenue and expenses during the reporting period. We based our estimates on historical experience, known trends and other market-specific or other relevant factors that we believe to be reasonable under the circumstances. On an ongoing basis, management evaluates its estimates when there are changes in circumstances, facts and experience. Changes in estimates are recorded in the period in which they become known. If actual results differ from our estimates, or to the extent these estimates are adjusted in future periods, our results of operations could either benefit from, or be adversely affected by, any such change in estimate.</w:t>
      </w:r>
    </w:p>
    <w:p>
      <w:pPr>
        <w:spacing w:after="0" w:line="81" w:lineRule="exact"/>
        <w:rPr>
          <w:sz w:val="20"/>
          <w:szCs w:val="20"/>
          <w:color w:val="auto"/>
        </w:rPr>
      </w:pPr>
    </w:p>
    <w:p>
      <w:pPr>
        <w:ind w:right="160" w:firstLine="464"/>
        <w:spacing w:after="0" w:line="266" w:lineRule="auto"/>
        <w:rPr>
          <w:sz w:val="20"/>
          <w:szCs w:val="20"/>
          <w:color w:val="auto"/>
        </w:rPr>
      </w:pPr>
      <w:r>
        <w:rPr>
          <w:rFonts w:ascii="Times New Roman" w:cs="Times New Roman" w:eastAsia="Times New Roman" w:hAnsi="Times New Roman"/>
          <w:sz w:val="18"/>
          <w:szCs w:val="18"/>
          <w:color w:val="auto"/>
        </w:rPr>
        <w:t>See Note 2 to our consolidated financial statements in the Annual Report on Form 10-K and Note 2 to our condensed consolidated financial statements included in Part I, Item 1 of this Quarterly Report for a summary of significant accounting policies and the effect on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464"/>
        <w:spacing w:after="0" w:line="266" w:lineRule="auto"/>
        <w:rPr>
          <w:sz w:val="20"/>
          <w:szCs w:val="20"/>
          <w:color w:val="auto"/>
        </w:rPr>
      </w:pPr>
      <w:r>
        <w:rPr>
          <w:rFonts w:ascii="Times New Roman" w:cs="Times New Roman" w:eastAsia="Times New Roman" w:hAnsi="Times New Roman"/>
          <w:sz w:val="18"/>
          <w:szCs w:val="18"/>
          <w:color w:val="auto"/>
        </w:rPr>
        <w:t>Our principal financial liabilities consist of trade and other payables lease liabilities and derivative warrant liabilities. The main purpose of these financial liabilities is to finance our day-to-day operations. Our financial assets consist of prepayments and other receivables and cash, that are derived from our operating activities and funding.</w:t>
      </w:r>
    </w:p>
    <w:p>
      <w:pPr>
        <w:spacing w:after="0" w:line="68" w:lineRule="exact"/>
        <w:rPr>
          <w:sz w:val="20"/>
          <w:szCs w:val="20"/>
          <w:color w:val="auto"/>
        </w:rPr>
      </w:pPr>
    </w:p>
    <w:p>
      <w:pPr>
        <w:ind w:right="20" w:firstLine="464"/>
        <w:spacing w:after="0" w:line="282" w:lineRule="auto"/>
        <w:rPr>
          <w:sz w:val="20"/>
          <w:szCs w:val="20"/>
          <w:color w:val="auto"/>
        </w:rPr>
      </w:pPr>
      <w:r>
        <w:rPr>
          <w:rFonts w:ascii="Times New Roman" w:cs="Times New Roman" w:eastAsia="Times New Roman" w:hAnsi="Times New Roman"/>
          <w:sz w:val="18"/>
          <w:szCs w:val="18"/>
          <w:color w:val="auto"/>
        </w:rPr>
        <w:t>We are exposed to market risk, credit risk and liquidity risk. Our senior management oversees the management of these risks. Our Board of Directors (the “Board of Directors”) reviews and approves policies for managing each of these risks, which are summarized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19" w:lineRule="exact"/>
        <w:rPr>
          <w:sz w:val="20"/>
          <w:szCs w:val="20"/>
          <w:color w:val="auto"/>
        </w:rPr>
      </w:pPr>
    </w:p>
    <w:p>
      <w:pPr>
        <w:ind w:right="20" w:firstLine="469"/>
        <w:spacing w:after="0" w:line="282" w:lineRule="auto"/>
        <w:rPr>
          <w:sz w:val="20"/>
          <w:szCs w:val="20"/>
          <w:color w:val="auto"/>
        </w:rPr>
      </w:pPr>
      <w:r>
        <w:rPr>
          <w:rFonts w:ascii="Times New Roman" w:cs="Times New Roman" w:eastAsia="Times New Roman" w:hAnsi="Times New Roman"/>
          <w:sz w:val="18"/>
          <w:szCs w:val="18"/>
          <w:color w:val="auto"/>
        </w:rPr>
        <w:t>Market risk is the risk that the fair value or future cash flows of a financial instrument will fluctuate because of changes in market prices. Market risk comprises interest rate risk, foreign currency risk and other price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220" w:firstLine="464"/>
        <w:spacing w:after="0" w:line="256" w:lineRule="auto"/>
        <w:rPr>
          <w:sz w:val="20"/>
          <w:szCs w:val="20"/>
          <w:color w:val="auto"/>
        </w:rPr>
      </w:pPr>
      <w:r>
        <w:rPr>
          <w:rFonts w:ascii="Times New Roman" w:cs="Times New Roman" w:eastAsia="Times New Roman" w:hAnsi="Times New Roman"/>
          <w:sz w:val="18"/>
          <w:szCs w:val="18"/>
          <w:color w:val="auto"/>
        </w:rPr>
        <w:t>We are exposed to interest rate risk primarily through our cash, cash equivalents and marketable securities. Changes in interest rates may cause variations in interest income and expense resulting from short-term interest-bearing assets. We invest in high-quality financial instruments, primarily money market funds and U.S. government and agency securities with maturities of less than one year, which we believe are subject to limited credit risk. We regularly review our investments and monitor the financial markets and we do not currently hedge interest rate exposure. Due to the nature of our investments, we do not believe an immediate 100 basis point change in interest rates would have a material effect on our financial condition. We do not believe that we have any material exposure to interest rate risk or changes in credit ratings arising from our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jc w:val="both"/>
        <w:ind w:right="620" w:firstLine="464"/>
        <w:spacing w:after="0" w:line="266"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Our exposure to the risk of changes in foreign exchange rates relates primarily to cash and trade and other payables denominated in currencies other than our functional currency,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U.S. Dollar. As of March 31, 2026, our net exposure to foreign currency risk was $80.9 million, mainly related to the Euro. As of March 31, 2026, the effect of a hypothetical 1% change in exchange rates on currencies denominated in other than our functional currency would result in a potential change in future earnings in our consolidated statement of operations of approximately $0.8 million.</w:t>
      </w:r>
    </w:p>
    <w:p>
      <w:pPr>
        <w:spacing w:after="0" w:line="68" w:lineRule="exact"/>
        <w:rPr>
          <w:sz w:val="20"/>
          <w:szCs w:val="20"/>
          <w:color w:val="auto"/>
        </w:rPr>
      </w:pPr>
    </w:p>
    <w:p>
      <w:pPr>
        <w:ind w:right="360" w:firstLine="464"/>
        <w:spacing w:after="0" w:line="282" w:lineRule="auto"/>
        <w:rPr>
          <w:sz w:val="20"/>
          <w:szCs w:val="20"/>
          <w:color w:val="auto"/>
        </w:rPr>
      </w:pPr>
      <w:r>
        <w:rPr>
          <w:rFonts w:ascii="Times New Roman" w:cs="Times New Roman" w:eastAsia="Times New Roman" w:hAnsi="Times New Roman"/>
          <w:sz w:val="18"/>
          <w:szCs w:val="18"/>
          <w:color w:val="auto"/>
        </w:rPr>
        <w:t>We partly manage our foreign currency risk by selectively holding foreign currency in our cash to offset foreign currency exposures from lease liabilities and trade and other payables. We plan to use this cash to settle future expenses we expect to incur in those foreign currencies.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 Price Risk</w:t>
      </w:r>
    </w:p>
    <w:p>
      <w:pPr>
        <w:spacing w:after="0" w:line="119"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we have derivative warrant liabilities, which are measured at fair value through profit or loss. As at March 31, 2026 the fair value of the derivative warrant liabilities totaled $50.2 million. Prior to 2026, the fair value of the Warrants was determined using the last reported trading price of the Public Warrants which trade under the symbol “NAMSW.” Beginning in 2026, due to a decrease in the trading volume of the Public Warrants, the fair value of the Warrants is determined by utilizing the Black-Scholes option pricing model. The primary driver of the change in fair value of the Warrants derived by such pricing method is the change in the trading price of our Ordinary Shares which trade under the symbol “NAMS.” The value of the derivative warrant liability is directly correlated to the market price of our Ordinary Shares. With all other variables held constant, a 1% change in the market price of our Ordinary Shares would change the value of the derivative warrant liability by approximately 1% or $0.5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ind w:right="140" w:firstLine="469"/>
        <w:spacing w:after="0" w:line="261" w:lineRule="auto"/>
        <w:rPr>
          <w:sz w:val="20"/>
          <w:szCs w:val="20"/>
          <w:color w:val="auto"/>
        </w:rPr>
      </w:pPr>
      <w:r>
        <w:rPr>
          <w:rFonts w:ascii="Times New Roman" w:cs="Times New Roman" w:eastAsia="Times New Roman" w:hAnsi="Times New Roman"/>
          <w:sz w:val="18"/>
          <w:szCs w:val="18"/>
          <w:color w:val="auto"/>
        </w:rPr>
        <w:t>Credit risk is the risk that a counterparty will not meet its obligations under a financial instrument or customer contract, leading to a financial loss. We are exposed to credit risk primarily from our treasury activities, including deposits with banks and financial institutions and have limited credit risk exposure from our operating activities. We hold available cash in bank accounts with banks which have investment grade credit ratings. Management periodically reviews the creditworthiness of the banks with which it holds assets.</w:t>
      </w:r>
    </w:p>
    <w:p>
      <w:pPr>
        <w:spacing w:after="0" w:line="72" w:lineRule="exact"/>
        <w:rPr>
          <w:sz w:val="20"/>
          <w:szCs w:val="20"/>
          <w:color w:val="auto"/>
        </w:rPr>
      </w:pPr>
    </w:p>
    <w:p>
      <w:pPr>
        <w:ind w:right="140" w:firstLine="469"/>
        <w:spacing w:after="0" w:line="282" w:lineRule="auto"/>
        <w:rPr>
          <w:sz w:val="20"/>
          <w:szCs w:val="20"/>
          <w:color w:val="auto"/>
        </w:rPr>
      </w:pPr>
      <w:r>
        <w:rPr>
          <w:rFonts w:ascii="Times New Roman" w:cs="Times New Roman" w:eastAsia="Times New Roman" w:hAnsi="Times New Roman"/>
          <w:sz w:val="18"/>
          <w:szCs w:val="18"/>
          <w:color w:val="auto"/>
        </w:rPr>
        <w:t>We perform research and development activities and do not yet have significant sales. We are able to reclaim VAT, which is recoverable from tax authorities. Management periodically reviews the recoverability of the balance of input value added tax and believes it is fully recoverable.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469"/>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is accumulated and communicated to management, including our principal executive officer (our Chief Executive Officer) and principal financial officer (our Chief Financial Officer), to allow timely decisions regarding required disclosure.</w:t>
      </w:r>
    </w:p>
    <w:p>
      <w:pPr>
        <w:spacing w:after="0" w:line="72" w:lineRule="exact"/>
        <w:rPr>
          <w:sz w:val="20"/>
          <w:szCs w:val="20"/>
          <w:color w:val="auto"/>
        </w:rPr>
      </w:pPr>
    </w:p>
    <w:p>
      <w:pPr>
        <w:ind w:right="140" w:firstLine="469"/>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has evaluated the effectiveness of our disclosure controls and procedures (as defined in Rules 13a-15(e) and 15d-15(e) under the Exchange Act) as of the end of the period covered by this Quarterly Report. Management recognizes that any disclosure controls and procedures, no matter how well designed and operated, can provide only reasonable assurance of achieving their objectives. Based on such evaluation, our Chief Executive Officer and Chief Financial Officer concluded that our disclosure controls and procedures were effective at the reasonable assurance level as of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firstLine="469"/>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three months ended March 31, 2026 that has materially affected, or is reasonably likely to materially affect, our internal control over financial reporting.</w:t>
      </w:r>
    </w:p>
    <w:p>
      <w:pPr>
        <w:spacing w:after="0" w:line="3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7" w:name="page28"/>
    <w:bookmarkEnd w:id="2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 and Procedures</w:t>
      </w:r>
    </w:p>
    <w:p>
      <w:pPr>
        <w:spacing w:after="0" w:line="121" w:lineRule="exact"/>
        <w:rPr>
          <w:sz w:val="20"/>
          <w:szCs w:val="20"/>
          <w:color w:val="auto"/>
        </w:rPr>
      </w:pPr>
    </w:p>
    <w:p>
      <w:pPr>
        <w:ind w:firstLine="46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337"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pending legal proceedings. From time to time, we may be involved in legal proceedings arising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19" w:lineRule="exact"/>
        <w:rPr>
          <w:sz w:val="20"/>
          <w:szCs w:val="20"/>
          <w:color w:val="auto"/>
        </w:rPr>
      </w:pPr>
    </w:p>
    <w:p>
      <w:pPr>
        <w:ind w:right="1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there have been no material changes to the risk factors previously disclosed in Part I, "Item 1A. Risk Factors" of our Annual Report on Form 10-K for the year ended December 31, 2025, filed with the SEC on February 18, 2026.</w:t>
      </w:r>
    </w:p>
    <w:p>
      <w:pPr>
        <w:spacing w:after="0" w:line="4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“Topline” and preliminary data or observed trends from our clinical trials that we announce or publish from time to time may change as more patient data become available and are subject to audit and verification procedures that could result in material changes in the final data.</w:t>
      </w:r>
    </w:p>
    <w:p>
      <w:pPr>
        <w:spacing w:after="0" w:line="9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From time to time, we have disclosed and in the future may publicly disclose preliminary or “topline” data or observed trends from our clinical trials, which are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Additionally, trends that we observe at one point in a study or trial may not exist at the time of a later analysis or at the conclusion of a study or trial. “Topline” data also remain subject to audit and verification procedures that may result in the final data being materially different from the data we previously published. As a result, preliminary or “topline” data or trends should be viewed with caution until the final data and analyses are available.</w:t>
      </w:r>
    </w:p>
    <w:p>
      <w:pPr>
        <w:spacing w:after="0" w:line="107"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For instance, we have conducted a preliminary review of blinded two-year data from our PREVAIL CVOT trial and have observed certain trends, including a Year 1 MACE event rate that is consistent with the event rate observed in BROADWAY and a greater than expected Year 1-to-Year 2 decline in MACE events, that have led us to prepare to conduct an interim analysis in that trial. However, the blinded PREVAIL data available to us is preliminary and subject to change as additional MACE events continue to be identified and adjudicated (including with respect to the Year 1-to-Year 2 period). Additionally, the Year 1 and Year 1-to-Year 2 MACE event trends observed to date may not be indicative of future trends. Our review of additional blinded data from PREVAIL as it becomes available could negatively impact our assessment of the potential benefits of conducting the interim analysis. Additionally, while we are currently observing a Year 1 MACE event rate in PREVAIL that is consistent with the event rate observed in BROADWAY, and a greater than expected Year 1 to Year 2 decline in MACE events, these trends are based on blinded data and may not be driven by a treatment effect of the obicetrapib treatment arm. For example, the MACE event rates in the placebo arm may be less than we expect due to continued advances in the standard of care for this patient population, heightened medical care and better risk factor management in trial participants or other currently unanticipated or unknown factors.</w:t>
      </w:r>
    </w:p>
    <w:p>
      <w:pPr>
        <w:spacing w:after="0" w:line="124"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authorities and collaboration or regional partners, may not accept or agree with our assumptions, estimates, calculations, conclusions or analyses or may interpret or weigh the importance of data differently, which could impact the value of our particular program, the approvability or commercialization of obicetrapib or any future product candidate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16"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If the “topline” or preliminary data or observed trends that we report differ from actual results, or if others, including regulatory authorities, disagree with the conclusions reached, our ability to obtain approval for, and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commercialize, obicetrapib may be harmed, which could significantly harm our business, financial condition, results of operations and prospects.</w:t>
      </w:r>
    </w:p>
    <w:p>
      <w:pPr>
        <w:spacing w:after="0" w:line="15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data or results of interim analyses from our clinical trials that we announce or publish from time to time may not meet pre-specified criteria or endpoints to support continuation of our clinical trials and may change as additional patient data become available.</w:t>
      </w:r>
    </w:p>
    <w:p>
      <w:pPr>
        <w:spacing w:after="0" w:line="78"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We have disclosed and in the future may disclose interim data or results of interim analyses from our clinical trials. There is a risk that any interim data or the results of interim analyses we disclose in the future may not meet pre-specified criteria or endpoints to support continuation of the clinical trial. Interim data and analyses from clinical trials that we may complete are also subject to the risk that one or more of the clinical outcomes may materially change as patient enrollment continues and more patient data become available or as patients from our clinical trials continue other treatments for their disease. Adverse differences between interim data and final data could significantly harm our business prospects. Further, disclosure of interim data or results of interim analyses by us or by our competitors could result in volatility in the price of our Ordinary Shares.</w:t>
      </w:r>
    </w:p>
    <w:p>
      <w:pPr>
        <w:spacing w:after="0" w:line="120"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For example, we expect to conduct an interim analysis of our Phase 3 PREVAIL CVOT in the fourth quarter of 2026. The interim analysis will be conducted by the DSMB for the trial and will remain blinded to us. Based on certain pre-specified criteria that we have set, as well as other considerations for which the DSMB has discretion, the DSMB may recommend that the trial be stopped early for efficacy or for futility or that the trial continue until the full target number of MACE events has occurred. The interim analysis will be based on a lower number of total MACE events than the trial protocol for PREVAIL contemplates being available at the conclusion of the trial and may, as a result, fail to detect a statistically significant treatment benefit of obicetrapib, if one exists. If, as a result of the interim analysis,the DSMB recommends that PREVAIL is discontinued for futility, our business prospects may be substantially harmed. If the trial is not stopped early for efficacy or futility, we expect to complete the trial by the end of 2027. Any material difference between the final data and any interim data or results of analyses we disclose could materially negatively impact our likelihood of receiving regulatory approval or, along with any other delays in our ability to file for marketing approval, could require significant additional time and expenditure.</w:t>
      </w:r>
    </w:p>
    <w:p>
      <w:pPr>
        <w:spacing w:after="0" w:line="12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If the interim data or results of interim analyses that we report do not support continuation of our clinical trials or differ from final results, our ability to obtain approval for, and commercialize, obicetrapib may be harmed, which could significantly harm our business, financial condition, results of operations and prospects.</w:t>
      </w:r>
    </w:p>
    <w:p>
      <w:pPr>
        <w:spacing w:after="0" w:line="9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and executive actions affecting the healthcare industry, including healthcare reform, may impact our business generally and may increase limitations on reimbursement, rebates and other payments, which could adversely affect third-party coverage of our products, our operations and/or how much or under what circumstances healthcare providers will prescribe or administer obicetrapib, if approved.</w:t>
      </w:r>
    </w:p>
    <w:p>
      <w:pPr>
        <w:spacing w:after="0" w:line="10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obicetrapib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federal and state legislative initiatives and executive actions.</w:t>
      </w:r>
    </w:p>
    <w:p>
      <w:pPr>
        <w:spacing w:after="0" w:line="11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 example, the IRA sets forth meaningful changes to drug product reimbursement by Medicare. The IRA, among other things, (i) directs HHS to negotiate the price of certain high-expenditure, single-source drugs and biologics covered under Medicare, and subjects drug manufacturers to civil monetary penalties and a potential excise tax for offering a price that is not equal to or less than the negotiated “maximum fair price” under the law, and (ii) imposes rebates under Medicare Part B and Medicare Part D to penalize price increases that outpace inflation. The IRA permits HHS to implement many of these provisions through guidance, as opposed to regulation, for the initial years. Specifically, with respect to price negotiations, Congress authorized Medicare to negotiate lower prices for certain single-source drug and biologic products that do not have competing generics or biosimilars and are reimbursed under Medicare Part B and Part D. CMS may negotiate prices for ten high-cost drugs paid for by Medicare Part D, effective in 2026, followed by 15 Part D drugs, effective in 2027, 15 Part B or Part D drugs,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56" w:lineRule="auto"/>
        <w:rPr>
          <w:sz w:val="20"/>
          <w:szCs w:val="20"/>
          <w:color w:val="auto"/>
        </w:rPr>
      </w:pPr>
      <w:r>
        <w:rPr>
          <w:rFonts w:ascii="Times New Roman" w:cs="Times New Roman" w:eastAsia="Times New Roman" w:hAnsi="Times New Roman"/>
          <w:sz w:val="18"/>
          <w:szCs w:val="18"/>
          <w:color w:val="auto"/>
        </w:rPr>
        <w:t>effective in 2028, and 20 Part B or Part D drugs, effective in 2029 and each year thereafter. This provision applies to drug products that have been approved for at least 7 years and biologics that have been licensed for 11 years, but it does not apply to drugs and biologics that have been approved only for rare diseases or conditions. Nonetheless, because CMS may establish a maximum price for these products in price negotiations, we may be exposed to government action if our product candidates, if approved, become the subject of Medicare price negotiations. Moreover, these provisions of the IRA may further heighten the risk that, if our product candidates are approved, we would not be able to achieve the expected return on such product candidates or realize the full value of the patents protecting them, including if prices are set after such product candidates have been on the market for seven years.</w:t>
      </w:r>
    </w:p>
    <w:p>
      <w:pPr>
        <w:spacing w:after="0" w:line="120"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The IRA permits HHS to engage in price-capped negotiation to set the price of certain drugs and biologics reimbursed under Medicare Part B and Part D. The IRA contains statutory exclusions to the negotiation program, including for certain orphan-designated drugs for which the only approved indication (or indications) is for the orphan disease or condition. Should our product candidates be approved and covered by Medicare Part B or Part D and fail to fall within a statutory exclusion, such as that for an orphan drug, those products could, after a period of time, be selected for negotiation and become subject to prices representing a significant discount from average prices to wholesalers and direct purchasers. The IRA also establishes a rebate obligation for drug manufacturers that increase prices of Medicare Part B and Part D covered drugs at a rate greater than the rate of inflation. The inflation rebates may require us to pay rebates if we increase the cost of a covered Medicare Part B or Part D approved product faster than the rate of inflation. In addition, the law eliminates the “donut hole” under Medicare Part D beginning in 2025, significantly lowers the beneficiary maximum out-of-pocket cost, and requires manufacturers to subsidize, through a newly established manufacturer discount program, 10% of Part D enrollees’ prescription costs for brand drugs below the out-of-pocket maximum and 20% once the out-of-pocket maximum has been reached. Our cost-sharing responsibility for any approved product covered by Medicare Part D could be significantly greater under the newly designed Part D benefit structure compared to the pre-IRA benefit design. Additionally, manufacturers that fail to comply with certain provisions of the IRA may be subject to penalties, including civil monetary penalties. The IRA is anticipated to have significant effects on the pharmaceutical industry and may reduce the prices we can charge and reimbursement we can receive for our products, among other effects.</w:t>
      </w:r>
    </w:p>
    <w:p>
      <w:pPr>
        <w:spacing w:after="0" w:line="11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as a result of the Budget Control Act of 2011, providers are subject to Medicare payment reductions of 2% per fiscal year, which went into effect on April 1, 2013. This 2% reduction was temporarily suspended during the COVID-19 pandemic, but has since been reinstated and, unless Congress and/or the Executive Branch take additional action, will begin to increase gradually starting in April 2030, reaching 4% in April 2031, until sequestration ends in October 2031.</w:t>
      </w:r>
    </w:p>
    <w:p>
      <w:pPr>
        <w:spacing w:after="0" w:line="112"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has issued executive orders relating to prescription drug pricing and letters to pharmaceutical manufacturers that direct drug manufacturers to, among other things, offer most favored nation (“MFN”) pricing in Medicaid, offer MFN pricing for all newly launched drugs, repatriate increased revenue from abroad to lower drug prices in the United States and implement direct-to-consumer and direct-to-business distribution of their products at MFN pricing. The Trump Administration has warned that manufacturers that fail to make “significant progress” toward MFN pricing will face enumerated regulatory and enforcement consequences. In September 2025, the Administration began announcing deals with specific manufacturers to address the Administration’s MFN goals.</w:t>
      </w:r>
    </w:p>
    <w:p>
      <w:pPr>
        <w:spacing w:after="0" w:line="12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Administration has also proposed three payment models that would test MFN pricing in Medicaid, Medicare Part D, and Medicare Part B. Participation in the Medicaid model, announced in November 2025, is voluntary for pharmaceutical manufacturers. Under the proposed rules for the Medicare Part D and Medicare Part B</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ind w:right="140"/>
        <w:spacing w:after="0" w:line="261" w:lineRule="auto"/>
        <w:rPr>
          <w:sz w:val="20"/>
          <w:szCs w:val="20"/>
          <w:color w:val="auto"/>
        </w:rPr>
      </w:pPr>
      <w:r>
        <w:rPr>
          <w:rFonts w:ascii="Times New Roman" w:cs="Times New Roman" w:eastAsia="Times New Roman" w:hAnsi="Times New Roman"/>
          <w:sz w:val="18"/>
          <w:szCs w:val="18"/>
          <w:color w:val="auto"/>
        </w:rPr>
        <w:t>models published in December 2025, participation would be mandatory, and pharmaceutical manufacturers would be required to pay MFN-based rebates on eligible products for 25% of eligible Medicare beneficiaries during the applicable testing period. If these models are finalized and we obtain regulatory approval and commence commercialization of obicetrapib or any of our future product candidates during the testing period, we may be required to participate in these models.</w:t>
      </w:r>
    </w:p>
    <w:p>
      <w:pPr>
        <w:spacing w:after="0" w:line="11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Moreover, pursuant to the Menarini License, Menarini is responsible for the commercialization and local development of obicetrapib in certain areas of Europe, if approved. In August 2025, the European Medicines Agency (the “EMA”) accepted for review the Marketing Authorization Applications (“MAAs”) submitted by Menarini for obicetrapib 10 mg monotherapy and the FDC of 10 mg obicetrapib plus 10 mg ezetimibe for the treatment of primary hypercholesterolemia, including heterozygous familial and non-familial or mixed dyslipidemia. Subsequently, MAAs were also submitted to regulators in the United Kingdom (“UK”) and Switzerland and accepted for review. We anticipate that Menarini will receive decisions on the MAAs from each of the regulators in the second half of 2026. Pursuant to the Menarini License, Menarini has sole discretion to set the price of the products in the European markets covered by its license. The price for prescription drug products in European and other non-U.S. markets is generally less, and in many cases significantly less, than the pricing for the same products sold in the United States. We expect the price of obicetrapib, if approved, in the European markets in which MAAs are currently under review by regulators, as well as the other European markets covered by the Menarini license, will be lower, and in most cases significantly lower, than the expected price for obicetrapib, if approved, in the United States. Since the European markets in which Menarini has sole discretion to set the price of obicetrapib may serve as benchmarks for any mandatory MFN pricing models, if adopted, we may be unable to control the MFN price that must be paid under the announced payment models, if adopted, or in any future efforts to adopt MFN pricing. As a result, these payment models and other efforts to impose MFN pricing could have a material adverse effect on our business, financial condition or results of operations, including the net sales potential of obicetrapib, if approved.</w:t>
      </w:r>
    </w:p>
    <w:p>
      <w:pPr>
        <w:spacing w:after="0" w:line="11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Further, on November 30, 2020, HHS, finalized a regulation removing safe harbor protection for price reductions from pharmaceutical manufacturers to plan sponsors under Part D, either directly or through pharmacy benefit managers, unless the price reduction is required by law. The IRA delayed the implementation of the rule to January 1, 2032. The rule also creates a new safe harbor for price reductions reflected at the point-of-sale, as well as a new safe harbor for certain fixed fee arrangements between pharmacy benefit managers and manufacturers; the implementation of these provisions has also been delayed by the IRA until January 1, 2032.</w:t>
      </w:r>
    </w:p>
    <w:p>
      <w:pPr>
        <w:spacing w:after="0" w:line="11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If we obtain regulatory approval and commence commercialization of obicetrapib or any of our future product candidates, these laws could have an adverse effect on the market opportunities for obicetrapib or any of our future product candidates and may result in additional reductions in healthcare funding, which could have an adverse effect on our customers and accordingly, our financial operations. Legislative and regulatory proposals have been made to expand post-approval requirements and restrict sales and promotional activities for pharmaceutical products. We cannot be sure whether additional legislative changes will be enacted, or whether additional executive actions will be taken, or whether the FDA regulations, guidance or interpretations will be changed, or what the impact of such changes on the marketing approvals of obicetrapib or our future product candidates may be.</w:t>
      </w:r>
    </w:p>
    <w:p>
      <w:pPr>
        <w:spacing w:after="0" w:line="12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Although we cannot predict the full effect on our business of the implementation of existing legislation or the enactment of additional legislation pursuant to healthcare and other legislative reform, we believe that legislation or regulations that would reduce reimbursement for, or restrict coverage of, obicetrapib, if approved, or any of our future products could adversely affect how much or under what circumstances healthcare providers will prescribe or administer our products. This could adversely affect our business by reducing our ability to generate revenues, raise capital, obtain licenses and market our products. In addition, we believe the increasing emphasis on managed care in the United States has and will continue to put pressure on the price and usage of pharmaceutical products, which may adversely impact product sales.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December 2025, the European Parliament and the Council of the European Union reached a provisional agreement on legislation to amend the current EU pharmaceutical regulatory framework. The text of the new legislation is due to be released in late 2026 following formal adoption by both the Parliament and Council. The potential reforms include altering the conditions and periods of regulatory and/or marketing protections available for innovative products. Depending on the final wording of these reforms, a reduction in the potential period of marketing protection available for obicetrapib or any of our future product candidates may adversely affect the commercial viability of such products in the EU. These changes could adversely affect our business by reducing our protection against generic competitors entering the EU market. Depending on the progress of the EU Parliament and Council to finalize the text of the legislation, changes to EU pharmaceutical legislation are not expected to come into force until early 2027 and additional transitional periods mean that most changes will most likely not take effect until early 2029.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government policies, including increased tariffs, could adversely affect our business.</w:t>
      </w:r>
    </w:p>
    <w:p>
      <w:pPr>
        <w:spacing w:after="0" w:line="148"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Significant political, trade, or regulatory developments in the jurisdictions in which we may sell our product,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policy actions by the Administration, including the imposition of new tariffs on imported materials and goods from certain non-U.S. countries, may have an adverse impact on our business.</w:t>
      </w:r>
    </w:p>
    <w:p>
      <w:pPr>
        <w:spacing w:after="0" w:line="11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Recently, trade and tariff policies among the United States and other countries have been unsettled and are subject to frequent changes. In April 2025, the Administration imposed a baseline ten percent tariff on imports from all nations importing goods to the United States, with that baseline supplemented in certain cases by additional tariffs that vary by nation, product or industry. In February 2026, the U.S. Supreme Court ruled against the Administration’s use of tariffs under the International Emergency Economic Powers Act, but the Administration imposed a new worldwide tariff under other legal authority, effective for 150 days from February 24, 2026. While the baseline tariff has been temporarily reduced, the underlying trade tensions and the potential reimposition of elevated tariffs may continue to pose risks to global supply chains and economic relations. The imposition of tariffs generally has historically led to increased trade and political tensions between the United States and other countries in the international community. Retaliatory tariffs on U.S. goods have been imposed by, among others, China and Canada.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could have a material adverse effect on our financial condition or results of operations. In addition, increased tariffs on critical raw materials, components, and finished goods could raise our production costs and disrupt our supply chain, which could adversely affect our clinical development activities. The actual impact of the new tariffs on our business is subject to a number of factors including, but not limited to, restrictions on trade, the effective date and duration of such tariffs, countries included in the scope of tariffs, changes to amounts of tariffs, potential retaliatory tariffs imposed by other countries, and the extent to which tariffs are imposed on finished or unfinished pharmaceutical products.</w:t>
      </w:r>
    </w:p>
    <w:p>
      <w:pPr>
        <w:spacing w:after="0" w:line="128"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If these or similar policy changes continue or expand, we may face increased costs. Although we cannot predict the full extent of these impacts, any prolonged disruption could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reimbursement regulations may materially affect our ability to market and receive coverage for our products in foreign jurisdictions.</w:t>
      </w:r>
    </w:p>
    <w:p>
      <w:pPr>
        <w:spacing w:after="0" w:line="162" w:lineRule="exact"/>
        <w:rPr>
          <w:sz w:val="20"/>
          <w:szCs w:val="20"/>
          <w:color w:val="auto"/>
        </w:rPr>
      </w:pPr>
    </w:p>
    <w:p>
      <w:pPr>
        <w:ind w:right="780" w:firstLine="749"/>
        <w:spacing w:after="0" w:line="282" w:lineRule="auto"/>
        <w:rPr>
          <w:sz w:val="20"/>
          <w:szCs w:val="20"/>
          <w:color w:val="auto"/>
        </w:rPr>
      </w:pPr>
      <w:r>
        <w:rPr>
          <w:rFonts w:ascii="Times New Roman" w:cs="Times New Roman" w:eastAsia="Times New Roman" w:hAnsi="Times New Roman"/>
          <w:sz w:val="18"/>
          <w:szCs w:val="18"/>
          <w:color w:val="auto"/>
        </w:rPr>
        <w:t>We intend to seek approval to market our current and future product candidates in the United States, the EU and selected other foreign jurisdictions. If we obtain approval in one or more foreign jurisdictions for our product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3" w:name="page34"/>
    <w:bookmarkEnd w:id="33"/>
    <w:p>
      <w:pPr>
        <w:ind w:right="60"/>
        <w:spacing w:after="0" w:line="258" w:lineRule="auto"/>
        <w:rPr>
          <w:sz w:val="20"/>
          <w:szCs w:val="20"/>
          <w:color w:val="auto"/>
        </w:rPr>
      </w:pPr>
      <w:r>
        <w:rPr>
          <w:rFonts w:ascii="Times New Roman" w:cs="Times New Roman" w:eastAsia="Times New Roman" w:hAnsi="Times New Roman"/>
          <w:sz w:val="18"/>
          <w:szCs w:val="18"/>
          <w:color w:val="auto"/>
        </w:rPr>
        <w:t>candidates, we will be subject to rules and regulations in those jurisdictions. In some countries, particularly certain EU member states,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11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the EU, the requirements governing drug pricing and reimbursement vary widely between EU member states. Some EU member states provide that products may be marketed only after a reimbursement price has been agreed. Some EU member states may require the completion of additional studies that compare the cost effectiveness of a particular product candidate to currently available therapies (so called health technology assessments) in order to obtain reimbursement or pricing approval. Moreover, at the national level, EU member states may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EU member states have increased the amount of discounts required on pharmaceuticals and these efforts could continue as EU member states attempt to manage healthcare expenditures, especially in light of the severe fiscal and debt crises experienced by many countries in the EU. The downward pressure on health care costs in general, particularly prescription products, has become significant. This is likely to increase as a result of the EU Health Technology Assessment Regulation (EU) 2021/2282. This legislation will apply to all new active substances approved via the EU centralized procedure from 2030. It already applies for new active substance oncology products and advanced therapy medicinal products, i.e., gene and cell therapy products, as well as tissue engineered products. It will apply to all orphan medicinal products from January 2028. The EU will prepare joint clinical assessment (“JCA”) reports in parallel with the marketing authorization review processes. The JCA will report on the relative or “added value” effectiveness of the product in comparison with existing health technologies. While EU member states remain responsible for pricing and reimbursement decisions, they must take “due consideration” of JCA and it is likely that more and more member states will factor the added clinical value offered by new products into their market access decisions. Accordingly, increasingly high barriers are being erected to the entry of new products in the marketplace in the EU.</w:t>
      </w:r>
    </w:p>
    <w:p>
      <w:pPr>
        <w:spacing w:after="0" w:line="11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Political, economic and regulatory developments in the EU may further complicate pricing negotiations, and pricing negotiations may continue after reimbursement has been obtained. Reference pricing used by various EU member states and parallel trade (arbitrage between low-priced and high-priced member states) can further reduce prices. Acceptance of any medicinal product for reimbursement may come with cost, use and often volume restrictions, which again can 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27" w:lineRule="exact"/>
        <w:rPr>
          <w:sz w:val="20"/>
          <w:szCs w:val="20"/>
          <w:color w:val="auto"/>
        </w:rPr>
      </w:pPr>
    </w:p>
    <w:p>
      <w:pPr>
        <w:ind w:right="600" w:firstLine="749"/>
        <w:spacing w:after="0" w:line="266" w:lineRule="auto"/>
        <w:rPr>
          <w:sz w:val="20"/>
          <w:szCs w:val="20"/>
          <w:color w:val="auto"/>
        </w:rPr>
      </w:pPr>
      <w:r>
        <w:rPr>
          <w:rFonts w:ascii="Times New Roman" w:cs="Times New Roman" w:eastAsia="Times New Roman" w:hAnsi="Times New Roman"/>
          <w:sz w:val="18"/>
          <w:szCs w:val="18"/>
          <w:color w:val="auto"/>
        </w:rPr>
        <w:t>In December 2025, the EU Parliament and Council reached political agreement on the proposals to amend the current EU pharmaceutical regulatory framework. As discussed above, the final agreed text is likely to be released in late 2026, but it is generally expected that it will contain provisions that may cause additional pressure 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ind w:right="40"/>
        <w:spacing w:after="0" w:line="252" w:lineRule="auto"/>
        <w:rPr>
          <w:sz w:val="20"/>
          <w:szCs w:val="20"/>
          <w:color w:val="auto"/>
        </w:rPr>
      </w:pPr>
      <w:r>
        <w:rPr>
          <w:rFonts w:ascii="Times New Roman" w:cs="Times New Roman" w:eastAsia="Times New Roman" w:hAnsi="Times New Roman"/>
          <w:sz w:val="18"/>
          <w:szCs w:val="18"/>
          <w:color w:val="auto"/>
        </w:rPr>
        <w:t>pricing issues across the EU. For example, it is expected that the legislation will give EU member states the power, within one year of marketing authorization, to request that the marketing authorization holder places a product benefiting from regulatory data exclusivity protection or extended orphan market protection on its market in sufficient quantities and in the presentations necessary to cover patient needs. The request must be “proportionate” and may include: submission of a valid pricing and reimbursement application; participating in public procurement procedures; and establishing a roll-out plan. Failure to comply with the request within three years of the member state request would mean that regulatory data protection no longer applies in that member state and that the member state or EMA are able to validate generic/biosimilar applications after six years. However, the regulator cannot grant the marketing authorization until regulatory exclusivity has expired. The new legislation also provides for the loss of market protection or market exclusivity prolongation in the member state, meaning that generics/biosimilars may launch earlier. A separate parallel mechanism allows member states to request that marketing authorization holders for centrally authorized products launch and supply medicinal products benefiting from patent, supplementary patent term, regulatory data and extended orphan market protection. A failure by the marketing authorization holder to ensure adequate supplies may result in member state escalation to the European Commission. It is possible that these provisions could result in companies being forced to engage with member states that may otherwise be lower priority markets, which may result in downward pressure on price. Any changes to EU pharmaceutical legislation are not expected to come into force until 2027. Additional transitional periods mean that, while some of these changes may take effect in early 2028, others will most likely not take effect until early 2029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10b5-1 Trading Arrangements</w:t>
      </w:r>
    </w:p>
    <w:p>
      <w:pPr>
        <w:spacing w:after="0" w:line="227"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8"/>
          <w:szCs w:val="18"/>
          <w:color w:val="auto"/>
        </w:rPr>
        <w:t>On February 6, 2026, Ian Somaiya, our Chief Financial Officer terminated a Rule 10b5-1 trading arrangement intended to satisfy the affirmative defense of Rule 10b5-1(c) that he initially adopted on September 30, 2025 and that provided for the potential sale of up to 200,000 Ordinary Shares, subject to certain price thresholds and other conditions. 100,000 Ordinary Shares were sold under this arrangement prior to its termination. On March 27, 2026, Mr. Somaiya adopted a Rule 10b5-1 trading arrangement intended to satisfy the affirmative defense of Rule 10b5-1(c) providing for the potential sale of up to 200,000 Ordinary Shares, subject to certain price thresholds and other conditions. The arrangement's expiration date is June 30, 2027.</w:t>
      </w:r>
    </w:p>
    <w:p>
      <w:pPr>
        <w:spacing w:after="0" w:line="183" w:lineRule="exact"/>
        <w:rPr>
          <w:sz w:val="20"/>
          <w:szCs w:val="20"/>
          <w:color w:val="auto"/>
        </w:rPr>
      </w:pPr>
    </w:p>
    <w:p>
      <w:pPr>
        <w:jc w:val="both"/>
        <w:ind w:right="220" w:firstLine="464"/>
        <w:spacing w:after="0" w:line="266" w:lineRule="auto"/>
        <w:rPr>
          <w:sz w:val="20"/>
          <w:szCs w:val="20"/>
          <w:color w:val="auto"/>
        </w:rPr>
      </w:pPr>
      <w:r>
        <w:rPr>
          <w:rFonts w:ascii="Times New Roman" w:cs="Times New Roman" w:eastAsia="Times New Roman" w:hAnsi="Times New Roman"/>
          <w:sz w:val="18"/>
          <w:szCs w:val="18"/>
          <w:color w:val="auto"/>
        </w:rPr>
        <w:t>On February 23, 2026, Louise Kooij, our Chief Accounting Officer, adopted a Rule 10b5-1 trading arrangement intended to satisfy the affirmative defense of Rule 10b5-1(c) providing for the potential sale of up to 210,000 Ordinary Shares, subject to certain price thresholds and other conditions. The arrangement's expiration date is December 30, 2026.</w:t>
      </w:r>
    </w:p>
    <w:p>
      <w:pPr>
        <w:spacing w:after="0" w:line="176" w:lineRule="exact"/>
        <w:rPr>
          <w:sz w:val="20"/>
          <w:szCs w:val="20"/>
          <w:color w:val="auto"/>
        </w:rPr>
      </w:pPr>
    </w:p>
    <w:p>
      <w:pPr>
        <w:ind w:right="620" w:firstLine="464"/>
        <w:spacing w:after="0" w:line="282" w:lineRule="auto"/>
        <w:rPr>
          <w:sz w:val="20"/>
          <w:szCs w:val="20"/>
          <w:color w:val="auto"/>
        </w:rPr>
      </w:pPr>
      <w:r>
        <w:rPr>
          <w:rFonts w:ascii="Times New Roman" w:cs="Times New Roman" w:eastAsia="Times New Roman" w:hAnsi="Times New Roman"/>
          <w:sz w:val="18"/>
          <w:szCs w:val="18"/>
          <w:color w:val="auto"/>
        </w:rPr>
        <w:t>On February 27, 2026, Michael Davidson, our Chief Executive Officer, terminated a Rule 10b5-1 trading arrangement intended to satisfy the affirmative defense of Rule 10b5-1(c) that he initially adopted on September 29,</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ind w:right="120"/>
        <w:spacing w:after="0" w:line="282" w:lineRule="auto"/>
        <w:rPr>
          <w:sz w:val="20"/>
          <w:szCs w:val="20"/>
          <w:color w:val="auto"/>
        </w:rPr>
      </w:pPr>
      <w:r>
        <w:rPr>
          <w:rFonts w:ascii="Times New Roman" w:cs="Times New Roman" w:eastAsia="Times New Roman" w:hAnsi="Times New Roman"/>
          <w:sz w:val="18"/>
          <w:szCs w:val="18"/>
          <w:color w:val="auto"/>
        </w:rPr>
        <w:t>2025 and that provided for the potential sale of up to 750,000 Ordinary Shares, subject to certain price thresholds and other conditions. 306,293 Ordinary Shares were sold under this arrangement prior to its termination.</w:t>
      </w:r>
    </w:p>
    <w:p>
      <w:pPr>
        <w:spacing w:after="0" w:line="162" w:lineRule="exact"/>
        <w:rPr>
          <w:sz w:val="20"/>
          <w:szCs w:val="20"/>
          <w:color w:val="auto"/>
        </w:rPr>
      </w:pPr>
    </w:p>
    <w:p>
      <w:pPr>
        <w:ind w:firstLine="464"/>
        <w:spacing w:after="0" w:line="266" w:lineRule="auto"/>
        <w:rPr>
          <w:sz w:val="20"/>
          <w:szCs w:val="20"/>
          <w:color w:val="auto"/>
        </w:rPr>
      </w:pPr>
      <w:r>
        <w:rPr>
          <w:rFonts w:ascii="Times New Roman" w:cs="Times New Roman" w:eastAsia="Times New Roman" w:hAnsi="Times New Roman"/>
          <w:sz w:val="18"/>
          <w:szCs w:val="18"/>
          <w:color w:val="auto"/>
        </w:rPr>
        <w:t>On March 31, 2026, Futurum B.V., an entity affiliated with John Kastelein, our Chief Scientific Officer, adopted a Rule 10b5-1 trading arrangement intended to satisfy the affirmative defense of Rule 10b5-1(c) providing for the potential sale of up to 250,000 Ordinary Shares, subject to certain price thresholds and other conditions. The arrangement's expiration date is June 30, 2027.</w:t>
      </w:r>
    </w:p>
    <w:p>
      <w:pPr>
        <w:spacing w:after="0" w:line="176" w:lineRule="exact"/>
        <w:rPr>
          <w:sz w:val="20"/>
          <w:szCs w:val="20"/>
          <w:color w:val="auto"/>
        </w:rPr>
      </w:pPr>
    </w:p>
    <w:p>
      <w:pPr>
        <w:ind w:right="180" w:firstLine="464"/>
        <w:spacing w:after="0" w:line="266" w:lineRule="auto"/>
        <w:rPr>
          <w:sz w:val="20"/>
          <w:szCs w:val="20"/>
          <w:color w:val="auto"/>
        </w:rPr>
      </w:pPr>
      <w:r>
        <w:rPr>
          <w:rFonts w:ascii="Times New Roman" w:cs="Times New Roman" w:eastAsia="Times New Roman" w:hAnsi="Times New Roman"/>
          <w:sz w:val="18"/>
          <w:szCs w:val="18"/>
          <w:color w:val="auto"/>
        </w:rPr>
        <w:t>Other than as discussed above, during the three months ended March 31, 2026, none of our directors or officers (as defined in Rule 16a-1(f) promulgated under the Exchange Act) adopted or terminated a Rule 10b5-1 trading arrangement (as defined in Item 408(a)(1)(i) of Regulation S-K) or a non-10b5-1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58"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Exhibit No.</w:t>
            </w:r>
          </w:p>
        </w:tc>
        <w:tc>
          <w:tcPr>
            <w:tcW w:w="3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62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Description of Document</w:t>
            </w:r>
          </w:p>
        </w:tc>
      </w:tr>
      <w:tr>
        <w:trPr>
          <w:trHeight w:val="176"/>
        </w:trPr>
        <w:tc>
          <w:tcPr>
            <w:tcW w:w="94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3.1</w:t>
            </w:r>
          </w:p>
        </w:tc>
        <w:tc>
          <w:tcPr>
            <w:tcW w:w="9420" w:type="dxa"/>
            <w:vAlign w:val="bottom"/>
            <w:tcBorders>
              <w:bottom w:val="single" w:sz="8" w:color="0000FF"/>
            </w:tcBorders>
            <w:gridSpan w:val="6"/>
          </w:tcPr>
          <w:p>
            <w:pPr>
              <w:spacing w:after="0" w:line="176"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English translation of the Deed of Conversion and Articles of Association of NewAmsterdam Pharma Company N.V. (incorporated by reference</w:t>
              </w:r>
            </w:hyperlink>
          </w:p>
        </w:tc>
        <w:tc>
          <w:tcPr>
            <w:tcW w:w="100" w:type="dxa"/>
            <w:vAlign w:val="bottom"/>
            <w:gridSpan w:val="2"/>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9520" w:type="dxa"/>
            <w:vAlign w:val="bottom"/>
            <w:gridSpan w:val="8"/>
          </w:tcPr>
          <w:p>
            <w:pPr>
              <w:spacing w:after="0" w:line="183"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to Exhibit 1.1 to the Shell Company Report on Form 20-F (File No. 001-41562), filed with the SEC on November 28, 2022).</w:t>
              </w:r>
            </w:hyperlink>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tcBorders>
              <w:right w:val="single" w:sz="8" w:color="0000FF"/>
            </w:tcBorders>
            <w:shd w:val="clear" w:color="auto" w:fill="0000FF"/>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31.1</w:t>
            </w:r>
          </w:p>
        </w:tc>
        <w:tc>
          <w:tcPr>
            <w:tcW w:w="9300" w:type="dxa"/>
            <w:vAlign w:val="bottom"/>
            <w:tcBorders>
              <w:bottom w:val="single" w:sz="8" w:color="0000FF"/>
            </w:tcBorders>
            <w:gridSpan w:val="5"/>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 under the Securities Exchange Act of 1934, as Adopted</w:t>
            </w:r>
          </w:p>
        </w:tc>
        <w:tc>
          <w:tcPr>
            <w:tcW w:w="220" w:type="dxa"/>
            <w:vAlign w:val="bottom"/>
            <w:gridSpan w:val="3"/>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952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tcBorders>
              <w:right w:val="single" w:sz="8" w:color="0000EE"/>
            </w:tcBorders>
            <w:shd w:val="clear" w:color="auto" w:fill="0000FF"/>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31.2</w:t>
            </w:r>
          </w:p>
        </w:tc>
        <w:tc>
          <w:tcPr>
            <w:tcW w:w="926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under the Securities Exchange Act of 1934, as Adopted</w:t>
            </w:r>
          </w:p>
        </w:tc>
        <w:tc>
          <w:tcPr>
            <w:tcW w:w="260" w:type="dxa"/>
            <w:vAlign w:val="bottom"/>
            <w:gridSpan w:val="4"/>
          </w:tcPr>
          <w:p>
            <w:pPr>
              <w:spacing w:after="0"/>
              <w:rPr>
                <w:sz w:val="15"/>
                <w:szCs w:val="15"/>
                <w:color w:val="auto"/>
              </w:rPr>
            </w:pPr>
          </w:p>
        </w:tc>
      </w:tr>
      <w:tr>
        <w:trPr>
          <w:trHeight w:val="183"/>
        </w:trPr>
        <w:tc>
          <w:tcPr>
            <w:tcW w:w="940" w:type="dxa"/>
            <w:vAlign w:val="bottom"/>
          </w:tcPr>
          <w:p>
            <w:pPr>
              <w:spacing w:after="0"/>
              <w:rPr>
                <w:sz w:val="15"/>
                <w:szCs w:val="15"/>
                <w:color w:val="auto"/>
              </w:rPr>
            </w:pPr>
          </w:p>
        </w:tc>
        <w:tc>
          <w:tcPr>
            <w:tcW w:w="952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Pursuant to Section 302 of the Sarbanes-Oxley Act of 2002.</w:t>
            </w:r>
          </w:p>
        </w:tc>
      </w:tr>
      <w:tr>
        <w:trPr>
          <w:trHeight w:val="20"/>
        </w:trPr>
        <w:tc>
          <w:tcPr>
            <w:tcW w:w="9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540" w:type="dxa"/>
            <w:vAlign w:val="bottom"/>
            <w:tcBorders>
              <w:right w:val="single" w:sz="8" w:color="0000EE"/>
            </w:tcBorders>
            <w:shd w:val="clear" w:color="auto" w:fill="0000FF"/>
          </w:tcPr>
          <w:p>
            <w:pPr>
              <w:spacing w:after="0" w:line="20" w:lineRule="exact"/>
              <w:rPr>
                <w:sz w:val="1"/>
                <w:szCs w:val="1"/>
                <w:color w:val="auto"/>
              </w:rPr>
            </w:pPr>
          </w:p>
        </w:tc>
        <w:tc>
          <w:tcPr>
            <w:tcW w:w="5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9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32.1*</w:t>
            </w:r>
          </w:p>
        </w:tc>
        <w:tc>
          <w:tcPr>
            <w:tcW w:w="9520" w:type="dxa"/>
            <w:vAlign w:val="bottom"/>
            <w:tcBorders>
              <w:bottom w:val="single" w:sz="8" w:color="0000FF"/>
            </w:tcBorders>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 of</w:t>
            </w:r>
          </w:p>
        </w:tc>
      </w:tr>
      <w:tr>
        <w:trPr>
          <w:trHeight w:val="183"/>
        </w:trPr>
        <w:tc>
          <w:tcPr>
            <w:tcW w:w="940" w:type="dxa"/>
            <w:vAlign w:val="bottom"/>
          </w:tcPr>
          <w:p>
            <w:pPr>
              <w:spacing w:after="0"/>
              <w:rPr>
                <w:sz w:val="15"/>
                <w:szCs w:val="15"/>
                <w:color w:val="auto"/>
              </w:rPr>
            </w:pPr>
          </w:p>
        </w:tc>
        <w:tc>
          <w:tcPr>
            <w:tcW w:w="36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4"/>
              </w:rPr>
              <w:t>2002.</w:t>
            </w:r>
          </w:p>
        </w:tc>
        <w:tc>
          <w:tcPr>
            <w:tcW w:w="35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9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32.2*</w:t>
            </w:r>
          </w:p>
        </w:tc>
        <w:tc>
          <w:tcPr>
            <w:tcW w:w="9520" w:type="dxa"/>
            <w:vAlign w:val="bottom"/>
            <w:gridSpan w:val="8"/>
          </w:tcPr>
          <w:p>
            <w:pPr>
              <w:spacing w:after="0" w:line="183"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Sarbanes-Oxley Act of</w:t>
            </w:r>
          </w:p>
        </w:tc>
      </w:tr>
      <w:tr>
        <w:trPr>
          <w:trHeight w:val="183"/>
        </w:trPr>
        <w:tc>
          <w:tcPr>
            <w:tcW w:w="940" w:type="dxa"/>
            <w:vAlign w:val="bottom"/>
          </w:tcPr>
          <w:p>
            <w:pPr>
              <w:spacing w:after="0"/>
              <w:rPr>
                <w:sz w:val="15"/>
                <w:szCs w:val="15"/>
                <w:color w:val="auto"/>
              </w:rPr>
            </w:pPr>
          </w:p>
        </w:tc>
        <w:tc>
          <w:tcPr>
            <w:tcW w:w="36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4"/>
              </w:rPr>
              <w:t>2002.</w:t>
            </w:r>
          </w:p>
        </w:tc>
        <w:tc>
          <w:tcPr>
            <w:tcW w:w="3540" w:type="dxa"/>
            <w:vAlign w:val="bottom"/>
            <w:tcBorders>
              <w:top w:val="single" w:sz="8" w:color="0000FF"/>
            </w:tcBorders>
          </w:tcPr>
          <w:p>
            <w:pPr>
              <w:spacing w:after="0"/>
              <w:rPr>
                <w:sz w:val="15"/>
                <w:szCs w:val="15"/>
                <w:color w:val="auto"/>
              </w:rPr>
            </w:pPr>
          </w:p>
        </w:tc>
        <w:tc>
          <w:tcPr>
            <w:tcW w:w="4180" w:type="dxa"/>
            <w:vAlign w:val="bottom"/>
            <w:tcBorders>
              <w:top w:val="single" w:sz="8" w:color="0000FF"/>
            </w:tcBorders>
          </w:tcPr>
          <w:p>
            <w:pPr>
              <w:spacing w:after="0"/>
              <w:rPr>
                <w:sz w:val="15"/>
                <w:szCs w:val="15"/>
                <w:color w:val="auto"/>
              </w:rPr>
            </w:pPr>
          </w:p>
        </w:tc>
        <w:tc>
          <w:tcPr>
            <w:tcW w:w="11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5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5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ind w:left="1360" w:hanging="934"/>
        <w:spacing w:after="0"/>
        <w:tabs>
          <w:tab w:leader="none" w:pos="136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the cover page interactive data is embedded within the Inline XBRL document and included in Exhibit 101</w:t>
      </w:r>
    </w:p>
    <w:p>
      <w:pPr>
        <w:spacing w:after="0" w:line="218" w:lineRule="exact"/>
        <w:rPr>
          <w:rFonts w:ascii="Times New Roman" w:cs="Times New Roman" w:eastAsia="Times New Roman" w:hAnsi="Times New Roman"/>
          <w:sz w:val="16"/>
          <w:szCs w:val="16"/>
          <w:color w:val="auto"/>
        </w:rPr>
      </w:pPr>
    </w:p>
    <w:p>
      <w:pPr>
        <w:ind w:left="38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certifications attached as Exhibit 32.1 and 32.2 accompanying this Quarterly Report on Form 10-Q are not deemed filed with the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Commission and are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8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NewAmsterdam Pharma Company N.V.</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7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Michael Davidson</w:t>
            </w:r>
          </w:p>
        </w:tc>
      </w:tr>
      <w:tr>
        <w:trPr>
          <w:trHeight w:val="191"/>
        </w:trPr>
        <w:tc>
          <w:tcPr>
            <w:tcW w:w="3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Davidson, M.D.</w:t>
            </w:r>
          </w:p>
        </w:tc>
      </w:tr>
      <w:tr>
        <w:trPr>
          <w:trHeight w:val="214"/>
        </w:trPr>
        <w:tc>
          <w:tcPr>
            <w:tcW w:w="3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 Authorized Signatory)</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Dated: May 7, 2026</w:t>
            </w:r>
          </w:p>
        </w:tc>
        <w:tc>
          <w:tcPr>
            <w:tcW w:w="79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Ian Somaiya</w:t>
            </w:r>
          </w:p>
        </w:tc>
      </w:tr>
      <w:tr>
        <w:trPr>
          <w:trHeight w:val="191"/>
        </w:trPr>
        <w:tc>
          <w:tcPr>
            <w:tcW w:w="3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Ian Somaiya</w:t>
            </w:r>
          </w:p>
        </w:tc>
      </w:tr>
      <w:tr>
        <w:trPr>
          <w:trHeight w:val="214"/>
        </w:trPr>
        <w:tc>
          <w:tcPr>
            <w:tcW w:w="3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432"/>
        </w:trPr>
        <w:tc>
          <w:tcPr>
            <w:tcW w:w="3260" w:type="dxa"/>
            <w:vAlign w:val="bottom"/>
          </w:tcPr>
          <w:p>
            <w:pPr>
              <w:spacing w:after="0"/>
              <w:rPr>
                <w:sz w:val="24"/>
                <w:szCs w:val="24"/>
                <w:color w:val="auto"/>
              </w:rPr>
            </w:pPr>
          </w:p>
        </w:tc>
        <w:tc>
          <w:tcPr>
            <w:tcW w:w="798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38</w:t>
            </w:r>
          </w:p>
        </w:tc>
      </w:tr>
      <w:tr>
        <w:trPr>
          <w:trHeight w:val="763"/>
        </w:trPr>
        <w:tc>
          <w:tcPr>
            <w:tcW w:w="32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Davidson, M.D.,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NewAmsterdam Pharma Company N.V.;</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40" w:val="left"/>
          <w:tab w:leader="none" w:pos="78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Michael Davidson, M.D.</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Somaiya,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NewAmsterdam Pharma Company N.V.;</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40" w:val="left"/>
          <w:tab w:leader="none" w:pos="804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Somaiya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Ian Somaiya</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NewAmsterdam Pharma Company N.V.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40" w:val="left"/>
          <w:tab w:leader="none" w:pos="782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Michael Davidson, M.D.</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NewAmsterdam Pharma Company N.V.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40" w:val="left"/>
          <w:tab w:leader="none" w:pos="804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Somaiya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Ian Somaiya</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
      <w:numFmt w:val="bullet"/>
      <w:start w:val="1"/>
    </w:lvl>
    <w:lvl w:ilvl="1">
      <w:lvlJc w:val="left"/>
      <w:lvlText w:val="%2"/>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22" Type="http://schemas.openxmlformats.org/officeDocument/2006/relationships/hyperlink" Target="https://www.sec.gov/Archives/edgar/data/1936258/000119312522293435/d395531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2026-05-07T06:12:55Z</dcterms:created>
  <dcterms:modified xsi:type="dcterms:W3CDTF">2026-05-07T06:12:55Z</dcterms:modified>
</cp:coreProperties>
</file>