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780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78040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88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4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920" w:type="dxa"/>
            <w:vAlign w:val="bottom"/>
            <w:gridSpan w:val="4"/>
            <w:vMerge w:val="restart"/>
          </w:tcPr>
          <w:p>
            <w:pPr>
              <w:spacing w:after="0" w:line="238" w:lineRule="exact"/>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Kooij Louise Frederika</w:t>
              </w:r>
            </w:hyperlink>
          </w:p>
        </w:tc>
        <w:tc>
          <w:tcPr>
            <w:tcW w:w="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0" w:type="dxa"/>
            <w:vAlign w:val="bottom"/>
            <w:gridSpan w:val="9"/>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NewAmsterdam Pharma Co N.V.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NAMS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20" w:type="dxa"/>
            <w:vAlign w:val="bottom"/>
          </w:tcPr>
          <w:p>
            <w:pPr>
              <w:spacing w:after="0"/>
              <w:rPr>
                <w:sz w:val="8"/>
                <w:szCs w:val="8"/>
                <w:color w:val="auto"/>
              </w:rPr>
            </w:pPr>
          </w:p>
        </w:tc>
        <w:tc>
          <w:tcPr>
            <w:tcW w:w="166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920" w:type="dxa"/>
            <w:vAlign w:val="bottom"/>
            <w:gridSpan w:val="4"/>
            <w:vMerge w:val="continue"/>
          </w:tcPr>
          <w:p>
            <w:pPr>
              <w:spacing w:after="0"/>
              <w:rPr>
                <w:sz w:val="4"/>
                <w:szCs w:val="4"/>
                <w:color w:val="auto"/>
              </w:rPr>
            </w:pPr>
          </w:p>
        </w:tc>
        <w:tc>
          <w:tcPr>
            <w:tcW w:w="5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gridSpan w:val="4"/>
            <w:vMerge w:val="continue"/>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920" w:type="dxa"/>
            <w:vAlign w:val="bottom"/>
            <w:tcBorders>
              <w:bottom w:val="single" w:sz="8" w:color="0000EE"/>
            </w:tcBorders>
            <w:gridSpan w:val="4"/>
            <w:vMerge w:val="continue"/>
          </w:tcPr>
          <w:p>
            <w:pPr>
              <w:spacing w:after="0"/>
              <w:rPr>
                <w:sz w:val="4"/>
                <w:szCs w:val="4"/>
                <w:color w:val="auto"/>
              </w:rPr>
            </w:pPr>
          </w:p>
        </w:tc>
        <w:tc>
          <w:tcPr>
            <w:tcW w:w="520" w:type="dxa"/>
            <w:vAlign w:val="bottom"/>
            <w:vMerge w:val="restart"/>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920" w:type="dxa"/>
            <w:vAlign w:val="bottom"/>
            <w:gridSpan w:val="4"/>
          </w:tcPr>
          <w:p>
            <w:pPr>
              <w:spacing w:after="0"/>
              <w:rPr>
                <w:sz w:val="3"/>
                <w:szCs w:val="3"/>
                <w:color w:val="auto"/>
              </w:rPr>
            </w:pPr>
          </w:p>
        </w:tc>
        <w:tc>
          <w:tcPr>
            <w:tcW w:w="52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1"/>
                <w:szCs w:val="11"/>
                <w:color w:val="auto"/>
              </w:rPr>
            </w:pPr>
          </w:p>
        </w:tc>
        <w:tc>
          <w:tcPr>
            <w:tcW w:w="1480" w:type="dxa"/>
            <w:vAlign w:val="bottom"/>
            <w:gridSpan w:val="4"/>
          </w:tcPr>
          <w:p>
            <w:pPr>
              <w:ind w:left="220"/>
              <w:spacing w:after="0" w:line="13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Borders>
              <w:top w:val="single" w:sz="8" w:color="EEEEEE"/>
            </w:tcBorders>
          </w:tcPr>
          <w:p>
            <w:pPr>
              <w:spacing w:after="0"/>
              <w:rPr>
                <w:sz w:val="8"/>
                <w:szCs w:val="8"/>
                <w:color w:val="auto"/>
              </w:rPr>
            </w:pPr>
          </w:p>
        </w:tc>
        <w:tc>
          <w:tcPr>
            <w:tcW w:w="1220" w:type="dxa"/>
            <w:vAlign w:val="bottom"/>
            <w:tcBorders>
              <w:top w:val="single" w:sz="8" w:color="EEEEEE"/>
              <w:bottom w:val="single" w:sz="8" w:color="EEEEEE"/>
            </w:tcBorders>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Borders>
              <w:top w:val="single" w:sz="8" w:color="EEEEEE"/>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94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8"/>
            <w:vMerge w:val="continue"/>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20" w:type="dxa"/>
            <w:vAlign w:val="bottom"/>
            <w:gridSpan w:val="4"/>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C/O NEWAMSTERDAM PHARMA COMPANY</w:t>
            </w:r>
          </w:p>
        </w:tc>
        <w:tc>
          <w:tcPr>
            <w:tcW w:w="1640" w:type="dxa"/>
            <w:vAlign w:val="bottom"/>
            <w:gridSpan w:val="6"/>
            <w:vMerge w:val="restart"/>
          </w:tcPr>
          <w:p>
            <w:pPr>
              <w:ind w:left="240"/>
              <w:spacing w:after="0"/>
              <w:rPr>
                <w:sz w:val="20"/>
                <w:szCs w:val="20"/>
                <w:color w:val="auto"/>
              </w:rPr>
            </w:pPr>
            <w:r>
              <w:rPr>
                <w:rFonts w:ascii="Times New Roman" w:cs="Times New Roman" w:eastAsia="Times New Roman" w:hAnsi="Times New Roman"/>
                <w:sz w:val="17"/>
                <w:szCs w:val="17"/>
                <w:color w:val="0000FF"/>
              </w:rPr>
              <w:t>05/26/2026</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20" w:type="dxa"/>
            <w:vAlign w:val="bottom"/>
            <w:gridSpan w:val="4"/>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60" w:type="dxa"/>
            <w:vAlign w:val="bottom"/>
            <w:gridSpan w:val="7"/>
            <w:vMerge w:val="continue"/>
          </w:tcPr>
          <w:p>
            <w:pPr>
              <w:spacing w:after="0"/>
              <w:rPr>
                <w:sz w:val="10"/>
                <w:szCs w:val="10"/>
                <w:color w:val="auto"/>
              </w:rPr>
            </w:pPr>
          </w:p>
        </w:tc>
        <w:tc>
          <w:tcPr>
            <w:tcW w:w="1640" w:type="dxa"/>
            <w:vAlign w:val="bottom"/>
            <w:gridSpan w:val="6"/>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N.V.</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GOOIMEER 2-35</w:t>
            </w: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4"/>
            <w:vMerge w:val="continue"/>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0" w:type="dxa"/>
            <w:vAlign w:val="bottom"/>
            <w:gridSpan w:val="9"/>
            <w:vMerge w:val="restart"/>
          </w:tcPr>
          <w:p>
            <w:pPr>
              <w:jc w:val="center"/>
              <w:ind w:right="135"/>
              <w:spacing w:after="0"/>
              <w:rPr>
                <w:sz w:val="20"/>
                <w:szCs w:val="20"/>
                <w:color w:val="auto"/>
              </w:rPr>
            </w:pPr>
            <w:r>
              <w:rPr>
                <w:rFonts w:ascii="Arial" w:cs="Arial" w:eastAsia="Arial" w:hAnsi="Arial"/>
                <w:sz w:val="13"/>
                <w:szCs w:val="13"/>
                <w:color w:val="auto"/>
                <w:w w:val="99"/>
              </w:rPr>
              <w:t>4. If Amendment, Date of Original Filed (Month/Day/Year)</w:t>
            </w:r>
          </w:p>
        </w:tc>
        <w:tc>
          <w:tcPr>
            <w:tcW w:w="220" w:type="dxa"/>
            <w:vAlign w:val="bottom"/>
          </w:tcPr>
          <w:p>
            <w:pPr>
              <w:spacing w:after="0"/>
              <w:rPr>
                <w:sz w:val="9"/>
                <w:szCs w:val="9"/>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0" w:type="dxa"/>
            <w:vAlign w:val="bottom"/>
            <w:gridSpan w:val="9"/>
            <w:vMerge w:val="continue"/>
          </w:tcPr>
          <w:p>
            <w:pPr>
              <w:spacing w:after="0"/>
              <w:rPr>
                <w:sz w:val="5"/>
                <w:szCs w:val="5"/>
                <w:color w:val="auto"/>
              </w:rPr>
            </w:pPr>
          </w:p>
        </w:tc>
        <w:tc>
          <w:tcPr>
            <w:tcW w:w="22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vMerge w:val="restart"/>
          </w:tcPr>
          <w:p>
            <w:pPr>
              <w:spacing w:after="0"/>
              <w:rPr>
                <w:sz w:val="7"/>
                <w:szCs w:val="7"/>
                <w:color w:val="auto"/>
              </w:rPr>
            </w:pPr>
          </w:p>
        </w:tc>
        <w:tc>
          <w:tcPr>
            <w:tcW w:w="4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3"/>
            <w:vMerge w:val="continue"/>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7"/>
                <w:szCs w:val="17"/>
                <w:color w:val="0000FF"/>
              </w:rPr>
              <w:t>NAARDEN</w:t>
            </w:r>
          </w:p>
        </w:tc>
        <w:tc>
          <w:tcPr>
            <w:tcW w:w="2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w w:val="99"/>
              </w:rPr>
              <w:t>P7</w:t>
            </w: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1411 DC</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100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680" w:type="dxa"/>
            <w:vAlign w:val="bottom"/>
            <w:tcBorders>
              <w:top w:val="single" w:sz="8" w:color="2C2C2C"/>
            </w:tcBorders>
            <w:gridSpan w:val="17"/>
          </w:tcPr>
          <w:p>
            <w:pPr>
              <w:ind w:left="2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4"/>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20" w:type="dxa"/>
            <w:vAlign w:val="bottom"/>
            <w:gridSpan w:val="5"/>
          </w:tcPr>
          <w:p>
            <w:pPr>
              <w:ind w:left="68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20" w:type="dxa"/>
            <w:vAlign w:val="bottom"/>
            <w:gridSpan w:val="5"/>
          </w:tcPr>
          <w:p>
            <w:pPr>
              <w:ind w:left="760"/>
              <w:spacing w:after="0"/>
              <w:rPr>
                <w:sz w:val="20"/>
                <w:szCs w:val="20"/>
                <w:color w:val="auto"/>
              </w:rPr>
            </w:pPr>
            <w:r>
              <w:rPr>
                <w:rFonts w:ascii="Times New Roman" w:cs="Times New Roman" w:eastAsia="Times New Roman" w:hAnsi="Times New Roman"/>
                <w:sz w:val="17"/>
                <w:szCs w:val="17"/>
                <w:color w:val="0000FF"/>
              </w:rPr>
              <w:t>05/26/2026</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0000FF"/>
              </w:rPr>
              <w:t>60,000</w:t>
            </w:r>
          </w:p>
        </w:tc>
        <w:tc>
          <w:tcPr>
            <w:tcW w:w="6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gridSpan w:val="2"/>
          </w:tcPr>
          <w:p>
            <w:pPr>
              <w:jc w:val="center"/>
              <w:ind w:left="7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10</w:t>
            </w: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84,353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20" w:type="dxa"/>
            <w:vAlign w:val="bottom"/>
            <w:gridSpan w:val="5"/>
          </w:tcPr>
          <w:p>
            <w:pPr>
              <w:ind w:left="760"/>
              <w:spacing w:after="0"/>
              <w:rPr>
                <w:sz w:val="20"/>
                <w:szCs w:val="20"/>
                <w:color w:val="auto"/>
              </w:rPr>
            </w:pPr>
            <w:r>
              <w:rPr>
                <w:rFonts w:ascii="Times New Roman" w:cs="Times New Roman" w:eastAsia="Times New Roman" w:hAnsi="Times New Roman"/>
                <w:sz w:val="17"/>
                <w:szCs w:val="17"/>
                <w:color w:val="0000FF"/>
              </w:rPr>
              <w:t>05/26/2026</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5,000</w:t>
            </w:r>
          </w:p>
        </w:tc>
        <w:tc>
          <w:tcPr>
            <w:tcW w:w="6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gridSpan w:val="2"/>
          </w:tcPr>
          <w:p>
            <w:pPr>
              <w:jc w:val="center"/>
              <w:ind w:left="7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10.9</w:t>
            </w: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89,353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ind w:left="760"/>
              <w:spacing w:after="0"/>
              <w:rPr>
                <w:sz w:val="20"/>
                <w:szCs w:val="20"/>
                <w:color w:val="auto"/>
              </w:rPr>
            </w:pPr>
            <w:r>
              <w:rPr>
                <w:rFonts w:ascii="Times New Roman" w:cs="Times New Roman" w:eastAsia="Times New Roman" w:hAnsi="Times New Roman"/>
                <w:sz w:val="17"/>
                <w:szCs w:val="17"/>
                <w:color w:val="0000FF"/>
              </w:rPr>
              <w:t>05/26/2026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0000FF"/>
              </w:rPr>
              <w:t>65,000</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35.69</w:t>
            </w:r>
            <w:r>
              <w:rPr>
                <w:rFonts w:ascii="Times New Roman" w:cs="Times New Roman" w:eastAsia="Times New Roman" w:hAnsi="Times New Roman"/>
                <w:sz w:val="21"/>
                <w:szCs w:val="21"/>
                <w:color w:val="008000"/>
                <w:w w:val="90"/>
                <w:vertAlign w:val="superscript"/>
              </w:rPr>
              <w:t>(1)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24,353</w:t>
            </w:r>
            <w:r>
              <w:rPr>
                <w:rFonts w:ascii="Times New Roman" w:cs="Times New Roman" w:eastAsia="Times New Roman" w:hAnsi="Times New Roman"/>
                <w:sz w:val="21"/>
                <w:szCs w:val="21"/>
                <w:color w:val="008000"/>
                <w:w w:val="91"/>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6680" w:type="dxa"/>
            <w:vAlign w:val="bottom"/>
            <w:tcBorders>
              <w:top w:val="single" w:sz="8" w:color="2C2C2C"/>
            </w:tcBorders>
            <w:gridSpan w:val="17"/>
          </w:tcPr>
          <w:p>
            <w:pPr>
              <w:jc w:val="center"/>
              <w:ind w:left="23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580" w:type="dxa"/>
            <w:vAlign w:val="bottom"/>
            <w:gridSpan w:val="15"/>
          </w:tcPr>
          <w:p>
            <w:pPr>
              <w:jc w:val="center"/>
              <w:ind w:left="3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60,000</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jc w:val="center"/>
              <w:ind w:right="62"/>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w:t>
            </w:r>
          </w:p>
        </w:tc>
        <w:tc>
          <w:tcPr>
            <w:tcW w:w="200" w:type="dxa"/>
            <w:vAlign w:val="bottom"/>
          </w:tcPr>
          <w:p>
            <w:pPr>
              <w:spacing w:after="0"/>
              <w:rPr>
                <w:sz w:val="11"/>
                <w:szCs w:val="11"/>
                <w:color w:val="auto"/>
              </w:rPr>
            </w:pPr>
          </w:p>
        </w:tc>
        <w:tc>
          <w:tcPr>
            <w:tcW w:w="1020" w:type="dxa"/>
            <w:vAlign w:val="bottom"/>
            <w:gridSpan w:val="2"/>
          </w:tcPr>
          <w:p>
            <w:pPr>
              <w:jc w:val="right"/>
              <w:ind w:right="156"/>
              <w:spacing w:after="0" w:line="129" w:lineRule="exact"/>
              <w:rPr>
                <w:sz w:val="20"/>
                <w:szCs w:val="20"/>
                <w:color w:val="auto"/>
              </w:rPr>
            </w:pPr>
            <w:r>
              <w:rPr>
                <w:rFonts w:ascii="Times New Roman" w:cs="Times New Roman" w:eastAsia="Times New Roman" w:hAnsi="Times New Roman"/>
                <w:sz w:val="13"/>
                <w:szCs w:val="13"/>
                <w:color w:val="0000FF"/>
              </w:rPr>
              <w:t>05/26/2026</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840" w:type="dxa"/>
            <w:vAlign w:val="bottom"/>
          </w:tcPr>
          <w:p>
            <w:pPr>
              <w:jc w:val="right"/>
              <w:ind w:right="61"/>
              <w:spacing w:after="0" w:line="129" w:lineRule="exact"/>
              <w:rPr>
                <w:sz w:val="20"/>
                <w:szCs w:val="20"/>
                <w:color w:val="auto"/>
              </w:rPr>
            </w:pPr>
            <w:r>
              <w:rPr>
                <w:rFonts w:ascii="Times New Roman" w:cs="Times New Roman" w:eastAsia="Times New Roman" w:hAnsi="Times New Roman"/>
                <w:sz w:val="13"/>
                <w:szCs w:val="13"/>
                <w:color w:val="0000FF"/>
              </w:rPr>
              <w:t>60,000</w:t>
            </w:r>
          </w:p>
        </w:tc>
        <w:tc>
          <w:tcPr>
            <w:tcW w:w="780" w:type="dxa"/>
            <w:vAlign w:val="bottom"/>
            <w:gridSpan w:val="2"/>
            <w:vMerge w:val="continue"/>
          </w:tcPr>
          <w:p>
            <w:pPr>
              <w:spacing w:after="0"/>
              <w:rPr>
                <w:sz w:val="11"/>
                <w:szCs w:val="11"/>
                <w:color w:val="auto"/>
              </w:rPr>
            </w:pPr>
          </w:p>
        </w:tc>
        <w:tc>
          <w:tcPr>
            <w:tcW w:w="7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color w:val="0000FF"/>
              </w:rPr>
              <w:t>11/22/2032</w:t>
            </w:r>
          </w:p>
        </w:tc>
        <w:tc>
          <w:tcPr>
            <w:tcW w:w="66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80,015</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gridSpan w:val="2"/>
            <w:vMerge w:val="restart"/>
          </w:tcPr>
          <w:p>
            <w:pPr>
              <w:jc w:val="right"/>
              <w:ind w:right="35"/>
              <w:spacing w:after="0"/>
              <w:rPr>
                <w:sz w:val="20"/>
                <w:szCs w:val="20"/>
                <w:color w:val="auto"/>
              </w:rPr>
            </w:pPr>
            <w:r>
              <w:rPr>
                <w:rFonts w:ascii="Times New Roman" w:cs="Times New Roman" w:eastAsia="Times New Roman" w:hAnsi="Times New Roman"/>
                <w:sz w:val="17"/>
                <w:szCs w:val="17"/>
                <w:color w:val="0000FF"/>
              </w:rPr>
              <w:t>5,000</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restart"/>
          </w:tcPr>
          <w:p>
            <w:pPr>
              <w:jc w:val="center"/>
              <w:ind w:right="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10.9</w:t>
            </w:r>
          </w:p>
        </w:tc>
        <w:tc>
          <w:tcPr>
            <w:tcW w:w="200" w:type="dxa"/>
            <w:vAlign w:val="bottom"/>
          </w:tcPr>
          <w:p>
            <w:pPr>
              <w:spacing w:after="0"/>
              <w:rPr>
                <w:sz w:val="5"/>
                <w:szCs w:val="5"/>
                <w:color w:val="auto"/>
              </w:rPr>
            </w:pPr>
          </w:p>
        </w:tc>
        <w:tc>
          <w:tcPr>
            <w:tcW w:w="1020" w:type="dxa"/>
            <w:vAlign w:val="bottom"/>
            <w:gridSpan w:val="2"/>
            <w:vMerge w:val="restart"/>
          </w:tcPr>
          <w:p>
            <w:pPr>
              <w:jc w:val="right"/>
              <w:ind w:right="156"/>
              <w:spacing w:after="0" w:line="142" w:lineRule="exact"/>
              <w:rPr>
                <w:sz w:val="20"/>
                <w:szCs w:val="20"/>
                <w:color w:val="auto"/>
              </w:rPr>
            </w:pPr>
            <w:r>
              <w:rPr>
                <w:rFonts w:ascii="Times New Roman" w:cs="Times New Roman" w:eastAsia="Times New Roman" w:hAnsi="Times New Roman"/>
                <w:sz w:val="13"/>
                <w:szCs w:val="13"/>
                <w:color w:val="0000FF"/>
              </w:rPr>
              <w:t>05/26/2026</w:t>
            </w: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gridSpan w:val="3"/>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840" w:type="dxa"/>
            <w:vAlign w:val="bottom"/>
            <w:vMerge w:val="restart"/>
          </w:tcPr>
          <w:p>
            <w:pPr>
              <w:jc w:val="right"/>
              <w:ind w:right="81"/>
              <w:spacing w:after="0" w:line="142" w:lineRule="exact"/>
              <w:rPr>
                <w:sz w:val="20"/>
                <w:szCs w:val="20"/>
                <w:color w:val="auto"/>
              </w:rPr>
            </w:pPr>
            <w:r>
              <w:rPr>
                <w:rFonts w:ascii="Times New Roman" w:cs="Times New Roman" w:eastAsia="Times New Roman" w:hAnsi="Times New Roman"/>
                <w:sz w:val="13"/>
                <w:szCs w:val="13"/>
                <w:color w:val="0000FF"/>
              </w:rPr>
              <w:t>5,000</w:t>
            </w:r>
          </w:p>
        </w:tc>
        <w:tc>
          <w:tcPr>
            <w:tcW w:w="780" w:type="dxa"/>
            <w:vAlign w:val="bottom"/>
            <w:gridSpan w:val="2"/>
            <w:vMerge w:val="continue"/>
          </w:tcPr>
          <w:p>
            <w:pPr>
              <w:spacing w:after="0"/>
              <w:rPr>
                <w:sz w:val="5"/>
                <w:szCs w:val="5"/>
                <w:color w:val="auto"/>
              </w:rPr>
            </w:pPr>
          </w:p>
        </w:tc>
        <w:tc>
          <w:tcPr>
            <w:tcW w:w="700" w:type="dxa"/>
            <w:vAlign w:val="bottom"/>
            <w:gridSpan w:val="2"/>
            <w:vMerge w:val="restart"/>
          </w:tcPr>
          <w:p>
            <w:pPr>
              <w:jc w:val="right"/>
              <w:ind w:right="80"/>
              <w:spacing w:after="0" w:line="142" w:lineRule="exact"/>
              <w:rPr>
                <w:sz w:val="20"/>
                <w:szCs w:val="20"/>
                <w:color w:val="auto"/>
              </w:rPr>
            </w:pPr>
            <w:r>
              <w:rPr>
                <w:rFonts w:ascii="Times New Roman" w:cs="Times New Roman" w:eastAsia="Times New Roman" w:hAnsi="Times New Roman"/>
                <w:sz w:val="13"/>
                <w:szCs w:val="13"/>
                <w:color w:val="0000FF"/>
              </w:rPr>
              <w:t>01/01/2033</w:t>
            </w:r>
          </w:p>
        </w:tc>
        <w:tc>
          <w:tcPr>
            <w:tcW w:w="66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68,134</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$35.12 to $36.09 per share. The Reporting Person undertakes to provide to the Issuer, any security holder of the Issuer, or the staff of the Securities and Exchange Commission, upon request, full information regarding the number of shares sold in each transaction.</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22,000 ordinary shares subject to restricted stock unit awards that remain subject to vesting.</w:t>
      </w:r>
    </w:p>
    <w:p>
      <w:pPr>
        <w:spacing w:after="0" w:line="44" w:lineRule="exact"/>
        <w:rPr>
          <w:rFonts w:ascii="Times New Roman" w:cs="Times New Roman" w:eastAsia="Times New Roman" w:hAnsi="Times New Roman"/>
          <w:sz w:val="13"/>
          <w:szCs w:val="13"/>
          <w:color w:val="008000"/>
        </w:rPr>
      </w:pPr>
    </w:p>
    <w:p>
      <w:pPr>
        <w:ind w:left="40" w:right="2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granted on November 22, 2022. The shares underlying the option vest in equal monthly installments over four years, with the first 1/48th of such shares vesting on December 1, 2022 and the remaining installments vesting on each one-month anniversary of the grant date, subject to the Reporting Person's continued service through each such date.</w:t>
      </w:r>
    </w:p>
    <w:p>
      <w:pPr>
        <w:spacing w:after="0" w:line="16" w:lineRule="exact"/>
        <w:rPr>
          <w:rFonts w:ascii="Times New Roman" w:cs="Times New Roman" w:eastAsia="Times New Roman" w:hAnsi="Times New Roman"/>
          <w:sz w:val="13"/>
          <w:szCs w:val="13"/>
          <w:color w:val="008000"/>
        </w:rPr>
      </w:pPr>
    </w:p>
    <w:p>
      <w:pPr>
        <w:ind w:left="40" w:right="4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granted on January 1, 2023. 25% of the shares underlying the option vest on the one-year anniversary of vesting start date, with the remaining shares vesting in equal monthly installments thereafter for three years, subject to the Reporting Person's continued service through each such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Reported transactions executed pursuant to a Rule 10b5-1 trading plan adopted by the Reporting Person on February 23, 2026.</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Louise Kooij</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05/27/2026</w:t>
            </w: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8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4379" TargetMode="External"/><Relationship Id="rId14" Type="http://schemas.openxmlformats.org/officeDocument/2006/relationships/hyperlink" Target="http://www.sec.gov/cgi-bin/browse-edgar?action=getcompany&amp;CIK=00019362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2026-05-27T15:53:56Z</dcterms:created>
  <dcterms:modified xsi:type="dcterms:W3CDTF">2026-05-27T15:53:56Z</dcterms:modified>
</cp:coreProperties>
</file>