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Gunning Robert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NEWAMSTERDAM PHARMA COMPANY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GOOIMEER 2-35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NAARDEN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 DC</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NETHERLANDS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NewAmsterdam Pharma Co N.V.</w:t>
              </w:r>
            </w:hyperlink>
            <w:r>
              <w:rPr/>
              <w:t xml:space="preserve"> [ </w:t>
            </w:r>
            <w:r>
              <w:rPr>
                <w:rFonts w:ascii="Times;serif" w:hAnsi="Times;serif"/>
                <w:color w:val="0000FF"/>
                <w:sz w:val="24"/>
                <w:shd w:fill="FFFFFF" w:val="clear"/>
              </w:rPr>
              <w:t>NAMS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3,200</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24.92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representing a contingent right to receive one ordinary share. 1/3 of the RSUs will vest on each of the first, second and third anniversaries of the vesting start date, September 10, 2026, subject to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shares underlying the option will vest on August 10, 2026, the one-year anniversay of the vesting start date, with the remaining shares vesting in equal monthly installments thereafter for three years, subject to the Reporting Person's continued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Marino, Attorney-in-Fact for Robert William Gunning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571" TargetMode="External"/><Relationship Id="rId5" Type="http://schemas.openxmlformats.org/officeDocument/2006/relationships/hyperlink" Target="http://www.sec.gov/cgi-bin/browse-edgar?action=getcompany&amp;CIK=0001936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3753</Characters>
  <CharactersWithSpaces>4357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