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0002000389</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0001968582-26-000868</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NewAmsterdam Pharma Company N.V.</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001-41562</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Gooimeer 2-35</w:t>
              <w:br/>
              <w:t>DC Naarden</w:t>
              <w:br/>
              <w:t xml:space="preserve">NETHERLANDS </w:t>
              <w:br/>
              <w:t>1411</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31-0-35-206-2971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Kastelein Johannes Jacob Pieter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Affiliate</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Ordinary Shares</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250000</w:t>
            </w:r>
          </w:p>
        </w:tc>
        <w:tc>
          <w:tcPr>
            <w:tcW w:w="1388" w:type="dxa"/>
            <w:tcBorders/>
            <w:vAlign w:val="center"/>
          </w:tcPr>
          <w:p>
            <w:pPr>
              <w:pStyle w:val="TableContents"/>
              <w:bidi w:val="0"/>
              <w:spacing w:before="0" w:after="283"/>
              <w:jc w:val="left"/>
              <w:rPr/>
            </w:pPr>
            <w:r>
              <w:rPr/>
              <w:t>6967500</w:t>
            </w:r>
          </w:p>
        </w:tc>
        <w:tc>
          <w:tcPr>
            <w:tcW w:w="1562" w:type="dxa"/>
            <w:tcBorders/>
            <w:vAlign w:val="center"/>
          </w:tcPr>
          <w:p>
            <w:pPr>
              <w:pStyle w:val="TableContents"/>
              <w:bidi w:val="0"/>
              <w:spacing w:before="0" w:after="283"/>
              <w:jc w:val="left"/>
              <w:rPr/>
            </w:pPr>
            <w:r>
              <w:rPr/>
              <w:t>119537169</w:t>
            </w:r>
          </w:p>
        </w:tc>
        <w:tc>
          <w:tcPr>
            <w:tcW w:w="1573" w:type="dxa"/>
            <w:tcBorders/>
            <w:vAlign w:val="center"/>
          </w:tcPr>
          <w:p>
            <w:pPr>
              <w:pStyle w:val="TableContents"/>
              <w:bidi w:val="0"/>
              <w:spacing w:before="0" w:after="283"/>
              <w:jc w:val="left"/>
              <w:rPr/>
            </w:pPr>
            <w:r>
              <w:rPr/>
              <w:t>08/25/2026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08/24/2026</w:t>
            </w:r>
          </w:p>
        </w:tc>
        <w:tc>
          <w:tcPr>
            <w:tcW w:w="1510" w:type="dxa"/>
            <w:tcBorders/>
            <w:vAlign w:val="center"/>
          </w:tcPr>
          <w:p>
            <w:pPr>
              <w:pStyle w:val="TableContents"/>
              <w:bidi w:val="0"/>
              <w:spacing w:before="0" w:after="283"/>
              <w:jc w:val="left"/>
              <w:rPr/>
            </w:pPr>
            <w:r>
              <w:rPr/>
              <w:t>Option Exercise</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250000</w:t>
            </w:r>
          </w:p>
        </w:tc>
        <w:tc>
          <w:tcPr>
            <w:tcW w:w="1080" w:type="dxa"/>
            <w:tcBorders/>
            <w:vAlign w:val="center"/>
          </w:tcPr>
          <w:p>
            <w:pPr>
              <w:pStyle w:val="TableContents"/>
              <w:bidi w:val="0"/>
              <w:spacing w:before="0" w:after="283"/>
              <w:jc w:val="left"/>
              <w:rPr/>
            </w:pPr>
            <w:r>
              <w:rPr/>
              <w:t>08/24/2026</w:t>
            </w:r>
          </w:p>
        </w:tc>
        <w:tc>
          <w:tcPr>
            <w:tcW w:w="12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7"/>
        <w:gridCol w:w="6388"/>
      </w:tblGrid>
      <w:tr>
        <w:trPr/>
        <w:tc>
          <w:tcPr>
            <w:tcW w:w="3817" w:type="dxa"/>
            <w:tcBorders/>
            <w:vAlign w:val="center"/>
          </w:tcPr>
          <w:p>
            <w:pPr>
              <w:pStyle w:val="TableContents"/>
              <w:bidi w:val="0"/>
              <w:spacing w:before="0" w:after="283"/>
              <w:jc w:val="left"/>
              <w:rPr/>
            </w:pPr>
            <w:r>
              <w:rPr/>
              <w:t>Remarks</w:t>
            </w:r>
          </w:p>
        </w:tc>
        <w:tc>
          <w:tcPr>
            <w:tcW w:w="6388" w:type="dxa"/>
            <w:tcBorders/>
            <w:vAlign w:val="center"/>
          </w:tcPr>
          <w:p>
            <w:pPr>
              <w:pStyle w:val="TableContents"/>
              <w:bidi w:val="0"/>
              <w:spacing w:before="0" w:after="0"/>
              <w:jc w:val="left"/>
              <w:rPr/>
            </w:pPr>
            <w:r>
              <w:rPr/>
              <w:t>The shares represented on this filing are for shares expected to be sold in the next 90 days by Futurum B.V., John Kastelein as Director</w:t>
            </w:r>
          </w:p>
        </w:tc>
      </w:tr>
      <w:tr>
        <w:trPr/>
        <w:tc>
          <w:tcPr>
            <w:tcW w:w="3817" w:type="dxa"/>
            <w:tcBorders/>
            <w:vAlign w:val="center"/>
          </w:tcPr>
          <w:p>
            <w:pPr>
              <w:pStyle w:val="TableContents"/>
              <w:bidi w:val="0"/>
              <w:spacing w:before="0" w:after="283"/>
              <w:jc w:val="left"/>
              <w:rPr/>
            </w:pPr>
            <w:r>
              <w:rPr/>
              <w:t>Date of Notice</w:t>
            </w:r>
          </w:p>
        </w:tc>
        <w:tc>
          <w:tcPr>
            <w:tcW w:w="6388" w:type="dxa"/>
            <w:tcBorders/>
            <w:vAlign w:val="center"/>
          </w:tcPr>
          <w:p>
            <w:pPr>
              <w:pStyle w:val="TableContents"/>
              <w:bidi w:val="0"/>
              <w:spacing w:before="0" w:after="0"/>
              <w:jc w:val="left"/>
              <w:rPr/>
            </w:pPr>
            <w:r>
              <w:rPr/>
              <w:t>08/24/2026</w:t>
            </w:r>
          </w:p>
        </w:tc>
      </w:tr>
      <w:tr>
        <w:trPr/>
        <w:tc>
          <w:tcPr>
            <w:tcW w:w="3817" w:type="dxa"/>
            <w:tcBorders/>
            <w:vAlign w:val="center"/>
          </w:tcPr>
          <w:p>
            <w:pPr>
              <w:pStyle w:val="TableContents"/>
              <w:bidi w:val="0"/>
              <w:spacing w:before="0" w:after="283"/>
              <w:jc w:val="left"/>
              <w:rPr/>
            </w:pPr>
            <w:r>
              <w:rPr/>
              <w:t>Date of Plan Adoption or Giving of Instruction, If Relying on Rule 10b5-1</w:t>
            </w:r>
          </w:p>
        </w:tc>
        <w:tc>
          <w:tcPr>
            <w:tcW w:w="6388"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7" w:type="dxa"/>
            <w:tcBorders/>
            <w:vAlign w:val="center"/>
          </w:tcPr>
          <w:p>
            <w:pPr>
              <w:pStyle w:val="TableContents"/>
              <w:bidi w:val="0"/>
              <w:spacing w:before="0" w:after="283"/>
              <w:jc w:val="left"/>
              <w:rPr/>
            </w:pPr>
            <w:r>
              <w:rPr/>
              <w:t>Signature</w:t>
            </w:r>
          </w:p>
        </w:tc>
        <w:tc>
          <w:tcPr>
            <w:tcW w:w="6388" w:type="dxa"/>
            <w:tcBorders/>
            <w:vAlign w:val="center"/>
          </w:tcPr>
          <w:p>
            <w:pPr>
              <w:pStyle w:val="TableContents"/>
              <w:bidi w:val="0"/>
              <w:spacing w:before="0" w:after="0"/>
              <w:jc w:val="left"/>
              <w:rPr/>
            </w:pPr>
            <w:r>
              <w:rPr/>
              <w:t>/s/ J.P. Morgan Securities LLC as agent and attorney-in-fact for Kastelein Johannes Jacob Pieter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3234</Characters>
  <CharactersWithSpaces>3808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