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Davidson Michael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NEWAMSTERDAM PHARMA COMPANY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GOOIMEER 2-35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NAARDEN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1411 DC</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NETHERLANDS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NewAmsterdam Pharma Co N.V.</w:t>
              </w:r>
            </w:hyperlink>
            <w:r>
              <w:rPr/>
              <w:t xml:space="preserve"> [ </w:t>
            </w:r>
            <w:r>
              <w:rPr>
                <w:rFonts w:ascii="Times;serif" w:hAnsi="Times;serif"/>
                <w:color w:val="0000FF"/>
                <w:sz w:val="24"/>
                <w:shd w:fill="FFFFFF" w:val="clear"/>
              </w:rPr>
              <w:t>NAMS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2"/>
        <w:gridCol w:w="900"/>
        <w:gridCol w:w="771"/>
        <w:gridCol w:w="598"/>
        <w:gridCol w:w="345"/>
        <w:gridCol w:w="922"/>
        <w:gridCol w:w="447"/>
        <w:gridCol w:w="749"/>
        <w:gridCol w:w="1181"/>
        <w:gridCol w:w="987"/>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22.65</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792,923</w:t>
            </w:r>
            <w:r>
              <w:rPr>
                <w:rFonts w:ascii="Times;serif" w:hAnsi="Times;serif"/>
                <w:color w:val="008000"/>
                <w:position w:val="7"/>
                <w:sz w:val="16"/>
                <w:sz w:val="20"/>
                <w:shd w:fill="FFFFFF" w:val="clear"/>
              </w:rPr>
              <w:t>(1)(2)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285,715</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163,352 ordinary shares subject to restricted stock unit awards that remain subject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prior transfer of 608,779 ordinary shares previously reported as indirectly beneficially owned by the Reporting Person. Such ordinary shares were previously held of record by Stichting Administratiekantoor EPNAP for the benefit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Ordinary Shares are held by the Michael H. Davidson 2026 Grantor Retained Annuity Trust (the "GRAT"). The Reporting Person is the sole annuitant and trustee of the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Marino as Attorney-in-Fact for Michael H. Davidson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both"/>
        <w:rPr/>
      </w:pPr>
      <w:bookmarkStart w:id="2" w:name="nams-ex24_1.htm"/>
      <w:bookmarkStart w:id="3" w:name="ksnamsex24_1"/>
      <w:bookmarkEnd w:id="2"/>
      <w:bookmarkEnd w:id="3"/>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POWER OF ATTORNEY</w:t>
      </w:r>
    </w:p>
    <w:p>
      <w:pPr>
        <w:pStyle w:val="TextBody"/>
        <w:bidi w:val="0"/>
        <w:jc w:val="center"/>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Know all by these presents, that the undersigned hereby makes, constitutes and appoints each of Brigitte (Britt) Eichner, Michael Marino, Margaret (Maggie) Siegel, and M. Ian Somaiya of NewAmsterdam Pharma Company N.V. (including any subsidiary, successor or assign, the “Company”), or any of them acting singly, and with full power of substitution and re-substitution, the undersigned’s true and lawful attorney</w:t>
        <w:noBreakHyphen/>
        <w:t>in</w:t>
        <w:noBreakHyphen/>
        <w:t>fact (each of such persons and their substitutes being referred to herein as the “Attorney-in-Fact”), with full power to act for the undersigned and in the undersigned’s name, place and stead, in any and all capacities, to:</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1.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13 or Section 16 of the Securities Exchange Act of 1934 (the “Exchange Act”) or any rule or regulation of the SEC;</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2. Prepare, execute and submit to the SEC,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Exchange Act or any rule or regulation thereunder, or under Rule 144 under the Securities Act of 1933 (“Rule 144”), with respect to the any security of the Company, including Forms 3, 4 and 5, Schedules 13D and 13G, and Forms 144; and</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undersigned acknowledges that:</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240"/>
        <w:jc w:val="left"/>
        <w:rPr>
          <w:rFonts w:ascii="Times New Roman" w:hAnsi="Times New Roman"/>
          <w:color w:val="000000"/>
          <w:sz w:val="21"/>
        </w:rPr>
      </w:pPr>
      <w:r>
        <w:rPr>
          <w:rFonts w:ascii="Times New Roman" w:hAnsi="Times New Roman"/>
          <w:color w:val="000000"/>
          <w:sz w:val="21"/>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This Power of Attorney shall remain in full force and effect until the earliest to occur of (a) the undersigned is no longer required to file Forms 4 or 5 or Schedules 13D or 13G or Forms 144 with respect to the undersigned’s holdings of and transactions in securities of the Company, (b) revocation by the undersigned in a signed writing delivered to the Company and the foregoing Attorneys-in-Fact, or (c) as to any Attorney-in-Fact individually, until such Attorney-in-Fact is no longer employed by the Company. This Power of Attorney revokes all previous powers of attorney with respect to the subject matter of this Power of Attorney.</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The signature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signature so delivered shall be deemed to have been duly and validly delivered and be valid and effective for all purposes.</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IN WITNESS WHEREOF, the undersigned has executed this Power of Attorney as of 8/7/2026.</w:t>
      </w:r>
    </w:p>
    <w:p>
      <w:pPr>
        <w:pStyle w:val="TextBody"/>
        <w:bidi w:val="0"/>
        <w:jc w:val="both"/>
        <w:rPr>
          <w:rFonts w:ascii="Times New Roman" w:hAnsi="Times New Roman"/>
          <w:color w:val="000000"/>
          <w:sz w:val="21"/>
          <w:u w:val="single"/>
        </w:rPr>
      </w:pPr>
      <w:r>
        <w:rPr>
          <w:rFonts w:ascii="Times New Roman" w:hAnsi="Times New Roman"/>
          <w:color w:val="000000"/>
          <w:sz w:val="21"/>
          <w:u w:val="single"/>
        </w:rPr>
        <w:t>/s/ Michael Davidson</w:t>
      </w:r>
    </w:p>
    <w:p>
      <w:pPr>
        <w:pStyle w:val="TextBody"/>
        <w:bidi w:val="0"/>
        <w:spacing w:before="0" w:after="240"/>
        <w:jc w:val="both"/>
        <w:rPr>
          <w:rFonts w:ascii="Times New Roman" w:hAnsi="Times New Roman"/>
          <w:color w:val="000000"/>
          <w:sz w:val="21"/>
        </w:rPr>
      </w:pPr>
      <w:r>
        <w:rPr>
          <w:rFonts w:ascii="Times New Roman" w:hAnsi="Times New Roman"/>
          <w:color w:val="000000"/>
          <w:sz w:val="21"/>
        </w:rPr>
        <w:t>Signature</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3785" TargetMode="External"/><Relationship Id="rId5" Type="http://schemas.openxmlformats.org/officeDocument/2006/relationships/hyperlink" Target="http://www.sec.gov/cgi-bin/browse-edgar?action=getcompany&amp;CIK=0001936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1446</Words>
  <Characters>7854</Characters>
  <CharactersWithSpaces>9215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