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NewAmsterdam Pharma Company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nominal value Euro 0.12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Bain Capital Life Sciences</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200 Clarendon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617-516-2000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BCLS Fund III Investments,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2,059,896.00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2,059,896.00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2,059,896.00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Bain Capital Life Sciences Opportunities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1,257,141.00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1,257,141.00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1,257,141.00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Bain Capital Life Sciences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89,142.00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89,142.00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89,142.00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BCLS II Investco,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114,017.00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114,017.00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114,017.00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BCLS II Equity Opportunities,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375,512.00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375,512.00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375,512.00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BCIP Life Sciences Associates,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10,857.00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Ordinary Shares, nominal value Euro 0.12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NewAmsterdam Pharma Company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Gooimeer 2-35, Naarden, NETHERLANDS , 1411 DC.</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to Schedule 13D relates to the ordinary shares, nominal value Euro 0.12 per share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"Ordinary Shares"), of NewAmsterdam Pharma Company N.V., a public limited liability company incorporated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Netherlands (the "Issuer"), and amends the initial statement on Schedule 13D filed by the Reporting Persons on December 2, 2022, as amended by Amendment No. 1 filed on June 13, 2023, Amendment No. 2 filed on March 1, 2024, Amendment No. 3 filed on December 17, 2024, Amendment No. 4 filed on November 7, 2025 and Amendment No. 5 filed on December 4, 2025 (the "Initial Statement" and, as further amended by this Amendment No. 6, the "Schedule 13D"). Capitalized terms used but not defined herein shall have the meanings ascribed to them in the</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Initial Statement.</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hanging="912"/>
        <w:spacing w:after="0" w:line="255"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 of the Initial Statement is hereby amended and restated as follows: The information set forth in Items 2, 3 and 6 and on the cover pages of this Schedule 13D is incorporated by reference in its entirety into this Item 5. As of the date hereof, after giving effect to the transactions described in Item 5(c) below, (i) BCLS Fund III directly holds 2,059,896 Ordinary Shares, representing approximately 1.8% of the outstanding Ordinary Shares; (ii) BCLS Fund III</w:t>
      </w:r>
    </w:p>
    <w:p>
      <w:pPr>
        <w:sectPr>
          <w:pgSz w:w="11900" w:h="16838" w:orient="portrait"/>
          <w:cols w:equalWidth="0" w:num="1">
            <w:col w:w="11160"/>
          </w:cols>
          <w:pgMar w:left="360" w:top="111" w:right="379" w:bottom="0" w:gutter="0" w:footer="0" w:header="0"/>
          <w:type w:val="continuous"/>
        </w:sectPr>
      </w:pPr>
    </w:p>
    <w:bookmarkStart w:id="6" w:name="page7"/>
    <w:bookmarkEnd w:id="6"/>
    <w:p>
      <w:pPr>
        <w:spacing w:after="0" w:line="49" w:lineRule="exact"/>
        <w:rPr>
          <w:sz w:val="20"/>
          <w:szCs w:val="20"/>
          <w:color w:val="auto"/>
        </w:rPr>
      </w:pPr>
    </w:p>
    <w:p>
      <w:pPr>
        <w:ind w:left="912" w:right="40"/>
        <w:spacing w:after="0" w:line="233" w:lineRule="auto"/>
        <w:rPr>
          <w:sz w:val="20"/>
          <w:szCs w:val="20"/>
          <w:color w:val="auto"/>
        </w:rPr>
      </w:pPr>
      <w:r>
        <w:rPr>
          <w:rFonts w:ascii="Times New Roman" w:cs="Times New Roman" w:eastAsia="Times New Roman" w:hAnsi="Times New Roman"/>
          <w:sz w:val="22"/>
          <w:szCs w:val="22"/>
          <w:color w:val="auto"/>
        </w:rPr>
        <w:t>Opportunities directly holds a Pre-Funded Warrant to acquire up to 1,257,141 Ordinary Shares, representing approximately 1.1% of the outstanding Ordinary Shares; (iii) BCLS Fund II directly holds a Warrant to acquire up to 89,142 Ordinary Shares, representing approximately 0.1% of the outstanding Ordinary Shares; (iv) BCLS II Investco directly holds 114,017 Ordinary Shares, representing approximately 0.1% of the outstanding Ordinary Shares; (v) BCLS Fund II Opportunities directly holds a Pre-Funded Warrant to acquire up to 375,512 Ordinary Shares, representing approximately 0.3% of the outstanding Ordinary Shares; and (vi) BCIPLS directly holds a Warrant to acquire up to 10,857 Ordinary Shares, representing approximately 0.01% of the outstanding Ordinary Shares. As a result of the foregoing and the relationships described in Item 2(a) of this Schedule 13D, the Reporting Persons may be deemed to collectively beneficially own an aggregate of 2,173,913 Ordinary Shares, Warrants to acquire up to 99,999 Ordinary Shares and Pre-Funded Warrants to acquire up to 1,632,653 Ordinary Shares, collectively representing approximately 3.3% of the outstanding Ordinary Shares. The calculation of the beneficial ownership of the Reporting Persons is based on (i) 116,903,979 Ordinary Shares issued and outstanding as of April 29, 2026, as reported by the Issuer in its Quarterly Report on Form 10-Q for the quarterly period ended March 31, 2026, filed with the Securities and Exchange Commission on May 7, 2026, and (ii) 1,732,652 Ordinary Shares issuable upon the exercise of the Pre-Funded Warrants and Warrants held by the Reporting Persons.</w:t>
      </w:r>
    </w:p>
    <w:p>
      <w:pPr>
        <w:spacing w:after="0" w:line="16" w:lineRule="exact"/>
        <w:rPr>
          <w:sz w:val="20"/>
          <w:szCs w:val="20"/>
          <w:color w:val="auto"/>
        </w:rPr>
      </w:pPr>
    </w:p>
    <w:p>
      <w:pPr>
        <w:ind w:left="912" w:hanging="912"/>
        <w:spacing w:after="0"/>
        <w:tabs>
          <w:tab w:leader="none" w:pos="9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hereof.</w:t>
      </w:r>
    </w:p>
    <w:p>
      <w:pPr>
        <w:spacing w:after="0" w:line="44" w:lineRule="exact"/>
        <w:rPr>
          <w:rFonts w:ascii="Times New Roman" w:cs="Times New Roman" w:eastAsia="Times New Roman" w:hAnsi="Times New Roman"/>
          <w:sz w:val="22"/>
          <w:szCs w:val="22"/>
          <w:color w:val="auto"/>
        </w:rPr>
      </w:pPr>
    </w:p>
    <w:p>
      <w:pPr>
        <w:jc w:val="both"/>
        <w:ind w:left="912" w:right="2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May 8, 2026, BCLS Fund III and BCLS II Investco sold 284,268 and 15,732 Ordinary Shares, respectively, at a weighted average price of $38.71 per share pursuant to Rule 144 under the Securities Act of 1933, as amended (the "Securities Act"), for aggregate consideration of $11.6 million. On May 11, 2026, BCLS Fund III and BCLS II</w:t>
      </w:r>
    </w:p>
    <w:p>
      <w:pPr>
        <w:spacing w:after="0" w:line="1" w:lineRule="exact"/>
        <w:rPr>
          <w:rFonts w:ascii="Times New Roman" w:cs="Times New Roman" w:eastAsia="Times New Roman" w:hAnsi="Times New Roman"/>
          <w:sz w:val="22"/>
          <w:szCs w:val="22"/>
          <w:color w:val="auto"/>
        </w:rPr>
      </w:pPr>
    </w:p>
    <w:p>
      <w:pPr>
        <w:ind w:left="912" w:right="20" w:hanging="912"/>
        <w:spacing w:after="0" w:line="252" w:lineRule="auto"/>
        <w:tabs>
          <w:tab w:leader="none" w:pos="91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Investco sold 284,268 and 15,732 Ordinary Shares, respectively, at a weighted average price of $39.98 per share pursuant to Rule 144 under the Securities Act for aggregate consideration of $11.9 million. On May 12, 2026, BCLS Fund III and BCLS II Investco sold 2,747,924 and 152,076 Ordinary Shares, respectively, at a weighted average price of $37.22 per share pursuant tot Rule 144 under the Securities Act for aggregate consideration of $107.9 million. Except as otherwise described in this Item 5, no one other than the Reporting Persons has the right to receive, or the</w:t>
      </w:r>
    </w:p>
    <w:p>
      <w:pPr>
        <w:spacing w:after="0" w:line="1" w:lineRule="exact"/>
        <w:rPr>
          <w:rFonts w:ascii="Times New Roman" w:cs="Times New Roman" w:eastAsia="Times New Roman" w:hAnsi="Times New Roman"/>
          <w:sz w:val="21"/>
          <w:szCs w:val="21"/>
          <w:color w:val="auto"/>
        </w:rPr>
      </w:pPr>
    </w:p>
    <w:p>
      <w:pPr>
        <w:ind w:left="912" w:right="1020" w:hanging="912"/>
        <w:spacing w:after="0" w:line="237" w:lineRule="auto"/>
        <w:tabs>
          <w:tab w:leader="none" w:pos="9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direct the receipt of, dividends from, or the proceeds from the sale of, any of the Ordinary Shares beneficially owned by the Reporting Persons as described in this Item 5.</w:t>
      </w:r>
    </w:p>
    <w:p>
      <w:pPr>
        <w:spacing w:after="0" w:line="16" w:lineRule="exact"/>
        <w:rPr>
          <w:rFonts w:ascii="Times New Roman" w:cs="Times New Roman" w:eastAsia="Times New Roman" w:hAnsi="Times New Roman"/>
          <w:sz w:val="22"/>
          <w:szCs w:val="22"/>
          <w:color w:val="auto"/>
        </w:rPr>
      </w:pPr>
    </w:p>
    <w:p>
      <w:pPr>
        <w:ind w:left="912" w:right="220" w:hanging="912"/>
        <w:spacing w:after="0" w:line="185" w:lineRule="auto"/>
        <w:tabs>
          <w:tab w:leader="none" w:pos="912"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Following the sale of Ordinary Shares on May 12, 2026 described in Item 5(c) above, the Reporting Persons ceased to beneficially own 5% or more of the Issuer's outstanding Ordinary Shares.</w:t>
      </w:r>
    </w:p>
    <w:p>
      <w:pPr>
        <w:spacing w:after="0" w:line="287"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52"/>
        <w:spacing w:after="0"/>
        <w:rPr>
          <w:sz w:val="20"/>
          <w:szCs w:val="20"/>
          <w:color w:val="auto"/>
        </w:rPr>
      </w:pPr>
      <w:r>
        <w:rPr>
          <w:rFonts w:ascii="Times New Roman" w:cs="Times New Roman" w:eastAsia="Times New Roman" w:hAnsi="Times New Roman"/>
          <w:sz w:val="22"/>
          <w:szCs w:val="22"/>
          <w:color w:val="auto"/>
        </w:rPr>
        <w:t>BCLS Fund III Investments,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Koppel</w:t>
      </w:r>
    </w:p>
    <w:p>
      <w:pPr>
        <w:ind w:left="5652"/>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Adam Koppel, Partner of Bain Capital Life</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Sciences Investors, LLC</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4352"/>
        <w:spacing w:after="0"/>
        <w:rPr>
          <w:sz w:val="20"/>
          <w:szCs w:val="20"/>
          <w:color w:val="auto"/>
        </w:rPr>
      </w:pPr>
      <w:r>
        <w:rPr>
          <w:rFonts w:ascii="Times New Roman" w:cs="Times New Roman" w:eastAsia="Times New Roman" w:hAnsi="Times New Roman"/>
          <w:sz w:val="22"/>
          <w:szCs w:val="22"/>
          <w:color w:val="auto"/>
        </w:rPr>
        <w:t>Bain Capital Life Sciences Opportunities III,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Koppel</w:t>
      </w:r>
    </w:p>
    <w:p>
      <w:pPr>
        <w:ind w:left="5652"/>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Adam Koppel, Partner of Bain Capital Life</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Sciences Investors, LLC</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632"/>
        <w:spacing w:after="0"/>
        <w:rPr>
          <w:sz w:val="20"/>
          <w:szCs w:val="20"/>
          <w:color w:val="auto"/>
        </w:rPr>
      </w:pPr>
      <w:r>
        <w:rPr>
          <w:rFonts w:ascii="Times New Roman" w:cs="Times New Roman" w:eastAsia="Times New Roman" w:hAnsi="Times New Roman"/>
          <w:sz w:val="22"/>
          <w:szCs w:val="22"/>
          <w:color w:val="auto"/>
        </w:rPr>
        <w:t>Bain Capital Life Sciences Fund II,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Koppel</w:t>
      </w:r>
    </w:p>
    <w:p>
      <w:pPr>
        <w:ind w:left="5652"/>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Adam Koppel, Partner of Bain Capital Life</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Sciences Investors, LLC</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2072"/>
        <w:spacing w:after="0"/>
        <w:rPr>
          <w:sz w:val="20"/>
          <w:szCs w:val="20"/>
          <w:color w:val="auto"/>
        </w:rPr>
      </w:pPr>
      <w:r>
        <w:rPr>
          <w:rFonts w:ascii="Times New Roman" w:cs="Times New Roman" w:eastAsia="Times New Roman" w:hAnsi="Times New Roman"/>
          <w:sz w:val="22"/>
          <w:szCs w:val="22"/>
          <w:color w:val="auto"/>
        </w:rPr>
        <w:t>BCLS II Investco,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Koppel</w:t>
      </w:r>
    </w:p>
    <w:p>
      <w:pPr>
        <w:ind w:left="5652"/>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Adam Koppel, Partner of Bain Capital Life</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Sciences Investors, LLC</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152"/>
        <w:spacing w:after="0"/>
        <w:rPr>
          <w:sz w:val="20"/>
          <w:szCs w:val="20"/>
          <w:color w:val="auto"/>
        </w:rPr>
      </w:pPr>
      <w:r>
        <w:rPr>
          <w:rFonts w:ascii="Times New Roman" w:cs="Times New Roman" w:eastAsia="Times New Roman" w:hAnsi="Times New Roman"/>
          <w:sz w:val="22"/>
          <w:szCs w:val="22"/>
          <w:color w:val="auto"/>
        </w:rPr>
        <w:t>BCLS II Equity Opportunities,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Koppel</w:t>
      </w:r>
    </w:p>
    <w:p>
      <w:pPr>
        <w:ind w:left="5652"/>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Adam Koppel, Partner of Bain Capital Life</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Sciences Investors, LLC</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ectPr>
          <w:pgSz w:w="11900" w:h="16887" w:orient="portrait"/>
          <w:cols w:equalWidth="0" w:num="1">
            <w:col w:w="11132"/>
          </w:cols>
          <w:pgMar w:left="368" w:top="111" w:right="399" w:bottom="0" w:gutter="0" w:footer="0" w:header="0"/>
        </w:sectPr>
      </w:pPr>
    </w:p>
    <w:bookmarkStart w:id="7" w:name="page8"/>
    <w:bookmarkEnd w:id="7"/>
    <w:p>
      <w:pPr>
        <w:ind w:left="2160"/>
        <w:spacing w:after="0"/>
        <w:rPr>
          <w:sz w:val="20"/>
          <w:szCs w:val="20"/>
          <w:color w:val="auto"/>
        </w:rPr>
      </w:pPr>
      <w:r>
        <w:rPr>
          <w:rFonts w:ascii="Times New Roman" w:cs="Times New Roman" w:eastAsia="Times New Roman" w:hAnsi="Times New Roman"/>
          <w:sz w:val="22"/>
          <w:szCs w:val="22"/>
          <w:color w:val="auto"/>
        </w:rPr>
        <w:t>BCIP Life Sciences Associates,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Koppel</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Adam Koppel, Authorized Signatory of Boylston</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Coinvestors, 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9920"/>
      </w:cols>
      <w:pgMar w:left="1440" w:top="26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2026-05-14T18:53:57Z</dcterms:created>
  <dcterms:modified xsi:type="dcterms:W3CDTF">2026-05-14T18:53:57Z</dcterms:modified>
</cp:coreProperties>
</file>