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993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9931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4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gridSpan w:val="4"/>
            <w:vMerge w:val="restart"/>
          </w:tcPr>
          <w:p>
            <w:pPr>
              <w:spacing w:after="0" w:line="23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Kooij Louise Frederika</w:t>
              </w:r>
            </w:hyperlink>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8"/>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NewAmsterdam Pharma Co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NAMS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4"/>
            <w:vMerge w:val="continue"/>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920" w:type="dxa"/>
            <w:vAlign w:val="bottom"/>
            <w:tcBorders>
              <w:bottom w:val="single" w:sz="8" w:color="0000EE"/>
            </w:tcBorders>
            <w:gridSpan w:val="4"/>
            <w:vMerge w:val="continue"/>
          </w:tcPr>
          <w:p>
            <w:pPr>
              <w:spacing w:after="0"/>
              <w:rPr>
                <w:sz w:val="4"/>
                <w:szCs w:val="4"/>
                <w:color w:val="auto"/>
              </w:rPr>
            </w:pPr>
          </w:p>
        </w:tc>
        <w:tc>
          <w:tcPr>
            <w:tcW w:w="52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920" w:type="dxa"/>
            <w:vAlign w:val="bottom"/>
            <w:gridSpan w:val="4"/>
          </w:tcPr>
          <w:p>
            <w:pPr>
              <w:spacing w:after="0"/>
              <w:rPr>
                <w:sz w:val="3"/>
                <w:szCs w:val="3"/>
                <w:color w:val="auto"/>
              </w:rPr>
            </w:pPr>
          </w:p>
        </w:tc>
        <w:tc>
          <w:tcPr>
            <w:tcW w:w="5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8"/>
                <w:szCs w:val="8"/>
                <w:color w:val="auto"/>
              </w:rPr>
            </w:pPr>
          </w:p>
        </w:tc>
        <w:tc>
          <w:tcPr>
            <w:tcW w:w="122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NEWAMSTERDAM PHARMA COMPANY</w:t>
            </w:r>
          </w:p>
        </w:tc>
        <w:tc>
          <w:tcPr>
            <w:tcW w:w="16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7"/>
                <w:szCs w:val="17"/>
                <w:color w:val="0000FF"/>
              </w:rPr>
              <w:t>06/22/2026</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N.V.</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GOOIMEER 2-35</w:t>
            </w: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7"/>
                <w:szCs w:val="17"/>
                <w:color w:val="0000FF"/>
              </w:rPr>
              <w:t>NAARDEN</w:t>
            </w:r>
          </w:p>
        </w:tc>
        <w:tc>
          <w:tcPr>
            <w:tcW w:w="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w w:val="99"/>
              </w:rPr>
              <w:t>P7</w:t>
            </w: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1411 DC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80" w:type="dxa"/>
            <w:vAlign w:val="bottom"/>
            <w:tcBorders>
              <w:top w:val="single" w:sz="8" w:color="2C2C2C"/>
            </w:tcBorders>
            <w:gridSpan w:val="16"/>
          </w:tcPr>
          <w:p>
            <w:pPr>
              <w:ind w:left="2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20" w:type="dxa"/>
            <w:vAlign w:val="bottom"/>
            <w:gridSpan w:val="5"/>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06/22/2026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gridSpan w:val="2"/>
          </w:tcPr>
          <w:p>
            <w:pPr>
              <w:jc w:val="center"/>
              <w:ind w:left="191"/>
              <w:spacing w:after="0"/>
              <w:rPr>
                <w:sz w:val="20"/>
                <w:szCs w:val="20"/>
                <w:color w:val="auto"/>
              </w:rPr>
            </w:pPr>
            <w:r>
              <w:rPr>
                <w:rFonts w:ascii="Times New Roman" w:cs="Times New Roman" w:eastAsia="Times New Roman" w:hAnsi="Times New Roman"/>
                <w:sz w:val="17"/>
                <w:szCs w:val="17"/>
                <w:color w:val="0000FF"/>
                <w:w w:val="98"/>
              </w:rPr>
              <w:t>25,000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49,353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20" w:type="dxa"/>
            <w:vAlign w:val="bottom"/>
            <w:gridSpan w:val="5"/>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06/22/2026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gridSpan w:val="2"/>
          </w:tcPr>
          <w:p>
            <w:pPr>
              <w:jc w:val="center"/>
              <w:ind w:left="191"/>
              <w:spacing w:after="0"/>
              <w:rPr>
                <w:sz w:val="20"/>
                <w:szCs w:val="20"/>
                <w:color w:val="auto"/>
              </w:rPr>
            </w:pPr>
            <w:r>
              <w:rPr>
                <w:rFonts w:ascii="Times New Roman" w:cs="Times New Roman" w:eastAsia="Times New Roman" w:hAnsi="Times New Roman"/>
                <w:sz w:val="17"/>
                <w:szCs w:val="17"/>
                <w:color w:val="0000FF"/>
                <w:w w:val="98"/>
              </w:rPr>
              <w:t>15,000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11.9</w:t>
            </w: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64,353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06/22/2026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gridSpan w:val="2"/>
          </w:tcPr>
          <w:p>
            <w:pPr>
              <w:jc w:val="center"/>
              <w:ind w:left="191"/>
              <w:spacing w:after="0"/>
              <w:rPr>
                <w:sz w:val="20"/>
                <w:szCs w:val="20"/>
                <w:color w:val="auto"/>
              </w:rPr>
            </w:pPr>
            <w:r>
              <w:rPr>
                <w:rFonts w:ascii="Times New Roman" w:cs="Times New Roman" w:eastAsia="Times New Roman" w:hAnsi="Times New Roman"/>
                <w:sz w:val="17"/>
                <w:szCs w:val="17"/>
                <w:color w:val="0000FF"/>
                <w:w w:val="98"/>
              </w:rPr>
              <w:t>39,700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30.2</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24,653</w:t>
            </w:r>
            <w:r>
              <w:rPr>
                <w:rFonts w:ascii="Times New Roman" w:cs="Times New Roman" w:eastAsia="Times New Roman" w:hAnsi="Times New Roman"/>
                <w:sz w:val="21"/>
                <w:szCs w:val="21"/>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06/22/2026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gridSpan w:val="2"/>
          </w:tcPr>
          <w:p>
            <w:pPr>
              <w:jc w:val="center"/>
              <w:ind w:left="171"/>
              <w:spacing w:after="0"/>
              <w:rPr>
                <w:sz w:val="20"/>
                <w:szCs w:val="20"/>
                <w:color w:val="auto"/>
              </w:rPr>
            </w:pPr>
            <w:r>
              <w:rPr>
                <w:rFonts w:ascii="Times New Roman" w:cs="Times New Roman" w:eastAsia="Times New Roman" w:hAnsi="Times New Roman"/>
                <w:sz w:val="17"/>
                <w:szCs w:val="17"/>
                <w:color w:val="0000FF"/>
                <w:w w:val="93"/>
              </w:rPr>
              <w:t>300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24,353</w:t>
            </w:r>
            <w:r>
              <w:rPr>
                <w:rFonts w:ascii="Times New Roman" w:cs="Times New Roman" w:eastAsia="Times New Roman" w:hAnsi="Times New Roman"/>
                <w:sz w:val="21"/>
                <w:szCs w:val="21"/>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6"/>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60" w:type="dxa"/>
            <w:vAlign w:val="bottom"/>
            <w:gridSpan w:val="14"/>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10.9</w:t>
            </w:r>
          </w:p>
        </w:tc>
        <w:tc>
          <w:tcPr>
            <w:tcW w:w="200" w:type="dxa"/>
            <w:vAlign w:val="bottom"/>
          </w:tcPr>
          <w:p>
            <w:pPr>
              <w:spacing w:after="0"/>
              <w:rPr>
                <w:sz w:val="11"/>
                <w:szCs w:val="11"/>
                <w:color w:val="auto"/>
              </w:rPr>
            </w:pPr>
          </w:p>
        </w:tc>
        <w:tc>
          <w:tcPr>
            <w:tcW w:w="1020" w:type="dxa"/>
            <w:vAlign w:val="bottom"/>
            <w:gridSpan w:val="2"/>
          </w:tcPr>
          <w:p>
            <w:pPr>
              <w:jc w:val="right"/>
              <w:ind w:right="156"/>
              <w:spacing w:after="0" w:line="129" w:lineRule="exact"/>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25,000</w:t>
            </w:r>
          </w:p>
        </w:tc>
        <w:tc>
          <w:tcPr>
            <w:tcW w:w="820" w:type="dxa"/>
            <w:vAlign w:val="bottom"/>
            <w:gridSpan w:val="2"/>
            <w:vMerge w:val="continue"/>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0000FF"/>
              </w:rPr>
              <w:t>01/01/2033</w:t>
            </w:r>
          </w:p>
        </w:tc>
        <w:tc>
          <w:tcPr>
            <w:tcW w:w="6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43,134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11.9</w:t>
            </w:r>
          </w:p>
        </w:tc>
        <w:tc>
          <w:tcPr>
            <w:tcW w:w="200" w:type="dxa"/>
            <w:vAlign w:val="bottom"/>
          </w:tcPr>
          <w:p>
            <w:pPr>
              <w:spacing w:after="0"/>
              <w:rPr>
                <w:sz w:val="11"/>
                <w:szCs w:val="11"/>
                <w:color w:val="auto"/>
              </w:rPr>
            </w:pPr>
          </w:p>
        </w:tc>
        <w:tc>
          <w:tcPr>
            <w:tcW w:w="1020" w:type="dxa"/>
            <w:vAlign w:val="bottom"/>
            <w:gridSpan w:val="2"/>
          </w:tcPr>
          <w:p>
            <w:pPr>
              <w:jc w:val="right"/>
              <w:ind w:right="156"/>
              <w:spacing w:after="0" w:line="129" w:lineRule="exact"/>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15,000</w:t>
            </w:r>
          </w:p>
        </w:tc>
        <w:tc>
          <w:tcPr>
            <w:tcW w:w="820" w:type="dxa"/>
            <w:vAlign w:val="bottom"/>
            <w:gridSpan w:val="2"/>
            <w:vMerge w:val="continue"/>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0000FF"/>
              </w:rPr>
              <w:t>05/18/2033</w:t>
            </w:r>
          </w:p>
        </w:tc>
        <w:tc>
          <w:tcPr>
            <w:tcW w:w="6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35,000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$29.73 to $30.72 per share. The Reporting Person undertakes to provide to the Issuer, any security holder of the Issuer, or the staff of the Securities and Exchange Commission, upon request, full information regarding the number of shares sold in each transaction.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22,000 ordinary shares subject to restricted stock unit awards that remain subject to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January 1, 2023. 25% of the shares underlying the option vest on the one-year anniversary of vesting start date, with the remaining shares vesting in equal monthly installments thereafter for three years, subject to the Reporting Person's continued service through each such date.</w:t>
      </w:r>
    </w:p>
    <w:p>
      <w:pPr>
        <w:spacing w:after="0" w:line="16"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May 18, 2023. 25% of the shares underlying the option vest on the one-year anniversary of vesting start date, with the remaining shares vesting in equal monthly installments thereafter for three years, subject to the Reporting Person's continued service through each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Reported transactions executed pursuant to a Rule 10b5-1 trading plan adopted by the Reporting Person on February 23, 2026.</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Louise Kooij</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06/24/2026</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4379" TargetMode="External"/><Relationship Id="rId14" Type="http://schemas.openxmlformats.org/officeDocument/2006/relationships/hyperlink" Target="http://www.sec.gov/cgi-bin/browse-edgar?action=getcompany&amp;CIK=0001936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2026-06-24T15:12:36Z</dcterms:created>
  <dcterms:modified xsi:type="dcterms:W3CDTF">2026-06-24T15:12:36Z</dcterms:modified>
</cp:coreProperties>
</file>