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ms-20260630.htm"/>
      <w:bookmarkStart w:id="1" w:name="ksnams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 xml:space="preserve">For the transition period from to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001-41562</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Gooimeer 2-35</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Naarden</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The Netherlands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DC</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+31</w:t>
      </w:r>
      <w:r>
        <w:rPr>
          <w:rFonts w:ascii="Times New Roman" w:hAnsi="Times New Roman"/>
          <w:color w:val="000000"/>
          <w:sz w:val="20"/>
        </w:rPr>
        <w:t xml:space="preserve"> </w:t>
      </w:r>
      <w:r>
        <w:rPr>
          <w:rFonts w:ascii="Times New Roman" w:hAnsi="Times New Roman"/>
          <w:b/>
          <w:color w:val="000000"/>
          <w:sz w:val="20"/>
        </w:rPr>
        <w:t>(0) 35 206 2971</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511"/>
        <w:gridCol w:w="146"/>
        <w:gridCol w:w="826"/>
        <w:gridCol w:w="146"/>
        <w:gridCol w:w="33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Ordinary Shares, nominal value €0.12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Warrants to purchase Ordinary Shares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NAMSW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August 3, 2026, the registrant had 119,537,169</w:t>
      </w:r>
      <w:r>
        <w:rPr>
          <w:rFonts w:ascii="Times New Roman" w:hAnsi="Times New Roman"/>
          <w:color w:val="000000"/>
          <w:sz w:val="20"/>
        </w:rPr>
        <w:t xml:space="preserve"> </w:t>
      </w:r>
      <w:r>
        <w:rPr>
          <w:rFonts w:ascii="Times New Roman" w:hAnsi="Times New Roman"/>
          <w:color w:val="000000"/>
          <w:sz w:val="18"/>
        </w:rPr>
        <w:t xml:space="preserve">ordinary shares, nominal value </w:t>
      </w:r>
      <w:r>
        <w:rPr>
          <w:rFonts w:ascii="Times New Roman" w:hAnsi="Times New Roman"/>
          <w:color w:val="000000"/>
          <w:sz w:val="20"/>
        </w:rPr>
        <w:t>€</w:t>
      </w:r>
      <w:r>
        <w:rPr>
          <w:rFonts w:ascii="Times New Roman" w:hAnsi="Times New Roman"/>
          <w:color w:val="000000"/>
          <w:sz w:val="18"/>
        </w:rPr>
        <w:t>0.12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SPECIAL NOTE REGARDING FORWARD-LOOKING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1_financialstatements">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f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oce">
              <w:r>
                <w:rPr>
                  <w:rStyle w:val="InternetLink"/>
                  <w:rFonts w:ascii="Times New Roman" w:hAnsi="Times New Roman"/>
                  <w:color w:val="0000FF"/>
                  <w:sz w:val="20"/>
                  <w:u w:val="single"/>
                </w:rPr>
                <w:t>Condensed Consolidated Statements of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oc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_item_2">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Defaults Upon Senior Securities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_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_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Unless otherwise stated or the context otherwise indicates, references to “we,” “our,” “us” or the “Company” refer to NewAmsterdam Pharma Company N.V., together with its subsidiaries.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Quarterly Report include, but are not limited to, statements regarding the Company’s future operations, cash flows, financial position, dividend policy, prospects, strategies, objectives and other future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 this Quarterly Report and in any document incorporated by reference in this Quarterly Report may include, for example,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liquidity and trading of the Company’s public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raise additional capital in sufficient amounts or on terms acceptable to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the Company’s product candidates, obicetrapib as a monotherapy and as a fixed-dose combination therapy with ezetimibe, as well as potential regulatory approvals and product launches, potential reimbursement and anticipated market size and market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dependence on the success of obicetrapib as a monotherapy and as a fixed-dose combination therapy with ezetimibe, including the obtaining of regulatory approval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results of clinical trials for the Company's product candidates, including statements regarding the timing of initiation and completion of studies or trials, related preparatory work and any interim analyses, as well as statements regarding the time at which results of trials or interim analyses will become available and marketing submissions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attract and retain senior management and key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limited experience in marketing or distributing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manage the risks related to the Company’s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achieve the broad degree of physician adoption and use and market acceptance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developments regarding the Company’s competitors and the Company’s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reliance on third parties for all aspects of the manufacturing of the Company’s product candidates for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efforts to obtain, protect or enforce its patents and other intellectual property rights related to the Company’s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the section titled “</w:t>
      </w:r>
      <w:r>
        <w:rPr>
          <w:rFonts w:ascii="Times New Roman" w:hAnsi="Times New Roman"/>
          <w:i/>
          <w:color w:val="000000"/>
          <w:sz w:val="20"/>
        </w:rPr>
        <w:t>Risk Factors</w:t>
      </w:r>
      <w:r>
        <w:rPr>
          <w:rFonts w:ascii="Times New Roman" w:hAnsi="Times New Roman"/>
          <w:color w:val="000000"/>
          <w:sz w:val="20"/>
        </w:rPr>
        <w:t>” in this Quarterly Report and in our Annual Report on Form 10-K for the year ended December 31, 2025, filed with the U.S. Securities and Exchange Commission (“SEC”) on February 18, 2026. Accordingly, you should not place undue reliance on these forward-looking statements, which speak only as of the date of this Quarterly Report. The Company undertakes no obligation to publicly revise any forward-looking statement to reflect circumstances or events after the date of this Quarterly Report or to reflect the occurrence of unanticipated events, except as specifically required by law. You should, however, review the factors and risks that the Company describes in the reports it files from time to time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the Company’s beliefs and opinions on the relevant subject. These statements are based on information available to the Company as of the date of this Quarterly Report. And while the Company believes that information provides a reasonable basis for these statements, that information may be limited or incomplete. The Company’s statements should not be read to indicate that it has conducted an exhaustive inquiry into, or review of, all relevant information. These statements are inherently uncertain, and you are cautioned not to unduly rely on these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believes the expectations reflected in the forward-looking statements were reasonable at the time made, it cannot guarantee future results, level of activity, performance or achievements. You should carefully consider the cautionary statements contained or referred to in this section in connection with the forward-looking statements contained in this Quarterly Report and any subsequent written or oral forward-looking statements that may be issued by the Company or persons acting on its behalf.</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1_financialstatements"/>
      <w:bookmarkEnd w:id="3"/>
      <w:r>
        <w:rPr>
          <w:rFonts w:ascii="Times New Roman" w:hAnsi="Times New Roman"/>
          <w:b/>
          <w:color w:val="000000"/>
          <w:sz w:val="20"/>
        </w:rPr>
        <w:t>PART I—FINANCIAL INFORMATION</w:t>
      </w:r>
    </w:p>
    <w:p>
      <w:pPr>
        <w:pStyle w:val="TextBody"/>
        <w:bidi w:val="0"/>
        <w:jc w:val="left"/>
        <w:rPr>
          <w:rFonts w:ascii="Times New Roman" w:hAnsi="Times New Roman"/>
          <w:b/>
          <w:color w:val="000000"/>
          <w:sz w:val="20"/>
        </w:rPr>
      </w:pPr>
      <w:bookmarkStart w:id="4" w:name="item1_fs"/>
      <w:bookmarkEnd w:id="4"/>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40"/>
        <w:gridCol w:w="146"/>
        <w:gridCol w:w="931"/>
        <w:gridCol w:w="166"/>
        <w:gridCol w:w="146"/>
        <w:gridCol w:w="146"/>
        <w:gridCol w:w="937"/>
        <w:gridCol w:w="393"/>
      </w:tblGrid>
      <w:tr>
        <w:trPr/>
        <w:tc>
          <w:tcPr>
            <w:tcW w:w="7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Prepayments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146,239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675,700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92,609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769,284</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net of current portion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Ordinary shares, €0.12 par value; 400,000,000 shares authorized; 117,651,697 and 114,399,326 shares issued and outstanding as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1,426,750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683,431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769,284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notes to consolidated financial statements.</w:t>
      </w: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operations"/>
      <w:bookmarkEnd w:id="6"/>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65"/>
        <w:gridCol w:w="241"/>
        <w:gridCol w:w="841"/>
        <w:gridCol w:w="189"/>
        <w:gridCol w:w="166"/>
        <w:gridCol w:w="241"/>
        <w:gridCol w:w="841"/>
        <w:gridCol w:w="366"/>
        <w:gridCol w:w="346"/>
        <w:gridCol w:w="211"/>
        <w:gridCol w:w="841"/>
        <w:gridCol w:w="366"/>
        <w:gridCol w:w="346"/>
        <w:gridCol w:w="211"/>
        <w:gridCol w:w="841"/>
        <w:gridCol w:w="393"/>
      </w:tblGrid>
      <w:tr>
        <w:trPr/>
        <w:tc>
          <w:tcPr>
            <w:tcW w:w="37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 except per share amounts)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expenses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(123,284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 – earnout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 – warrants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gains/(losses)</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gain/(loss) on available-for-sale securities, net of tax</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 for the period, net of tax</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(64,495</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ordinary share</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oce"/>
      <w:bookmarkEnd w:id="7"/>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02"/>
        <w:gridCol w:w="146"/>
        <w:gridCol w:w="1141"/>
        <w:gridCol w:w="146"/>
        <w:gridCol w:w="146"/>
        <w:gridCol w:w="146"/>
        <w:gridCol w:w="676"/>
        <w:gridCol w:w="146"/>
        <w:gridCol w:w="146"/>
        <w:gridCol w:w="153"/>
        <w:gridCol w:w="977"/>
        <w:gridCol w:w="166"/>
        <w:gridCol w:w="146"/>
        <w:gridCol w:w="157"/>
        <w:gridCol w:w="913"/>
        <w:gridCol w:w="166"/>
        <w:gridCol w:w="146"/>
        <w:gridCol w:w="270"/>
        <w:gridCol w:w="1060"/>
        <w:gridCol w:w="166"/>
        <w:gridCol w:w="146"/>
        <w:gridCol w:w="180"/>
        <w:gridCol w:w="969"/>
        <w:gridCol w:w="295"/>
      </w:tblGrid>
      <w:tr>
        <w:trPr/>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 except share amounts)</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Shareholders' Equity</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108,064,340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757,500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40,807</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112,169,291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777,363</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(17,471</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112,509,914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778,497</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114,399,326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683,431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116,641,656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665,222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11,836</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and comprehensive loss for the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117,651,697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631,422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socf"/>
      <w:bookmarkEnd w:id="8"/>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56"/>
        <w:gridCol w:w="182"/>
        <w:gridCol w:w="940"/>
        <w:gridCol w:w="207"/>
        <w:gridCol w:w="182"/>
        <w:gridCol w:w="182"/>
        <w:gridCol w:w="940"/>
        <w:gridCol w:w="416"/>
      </w:tblGrid>
      <w:tr>
        <w:trPr/>
        <w:tc>
          <w:tcPr>
            <w:tcW w:w="7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of USD)</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for the period</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(112,576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(56,891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Non-cash adjustments to reconcile loss for the period to net cash flows: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rent expense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change - derivative earnout and warrants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plant and equipment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exchange (gains)/losses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premium/discount on available-for-sale debt securities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30,392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Changes in working capital:</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prepayments and other receivables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accounts payable</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accrued expenses and other current liabilities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deferred revenue</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(69,818</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(74,139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plant and equipment, including internal use software</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(113,653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(193,340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(16,271</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(156,281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costs on December 2024 issue of Ordinary Shares and Pre-Funded Warrants</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warrants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options</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22,106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9,944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cash equivalents and restricted cash</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(63,983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(220,476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exchange differences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beginning of the period</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491,323</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771,743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the end of the period</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425,508</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563,864</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financing and investing activities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earnout shares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the Condensed Consolidated Balance Sheets</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563,864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425,508</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563,864</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notes_to_financials"/>
      <w:bookmarkEnd w:id="9"/>
      <w:r>
        <w:rPr>
          <w:rFonts w:ascii="Times New Roman" w:hAnsi="Times New Roman"/>
          <w:b/>
          <w:color w:val="000000"/>
          <w:sz w:val="20"/>
        </w:rPr>
        <w:t>NewAmsterdam Pharma Company N.V.</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center"/>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Note 1.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NewAmsterdam Pharma Company N.V. (“NewAmsterdam Pharma” or the “Company”) is a late-stage biopharmaceutical company whose mission is to improve patient care in populations with metabolic diseases where currently approved therapies have not been adequate or well-tolerated. The Company was incorporated in the Netherlands as a Dutch private company with limited liability (besloten vennootschap met beperkte aansprakelijkheid) under the name NewAmsterdam Pharma Company B.V. on June 10, 2022. On November 21, 2022, the Company’s corporate form was converted to a Dutch public limited liability company (naamloze vennootschap), and its name was changed to NewAmsterdam Pharma Company N.V. The Company’s ordinary shares, nominal value €0.12 per share (the “Ordinary Shares”) are listed on the Nasdaq Global Market (“Nasdaq”) and trade under the symbol “NAMS.”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September 24, 2025, NewAmsterdam Pharma Holding B.V., a non-operating, wholly-owned subsidiary of the Company, merged with and into NewAmsterdam Pharma Company N.V. On the same date, Frazier Life Sciences Acquisition Corporation, a non-operating, wholly-owned subsidiary of the Company, merged with and into NewAmsterdam Pharma Corporation, a wholly-owned subsidiary of the Company. The transactions represent combinations between entities under common control. NewAmsterdam Pharma Holding B.V. and Frazier Life Sciences Acquisition Corporation had no material operations, and the mergers had no impact on the consolidated financial statements of the Company. As such, no separate pre-combination results are presented.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biopharmaceutical industry, including, but not limited to, development by competitors of more advanced or effective therapies, dependence on key executives, protection of and dependence on intellectual property, compliance with government regulations and ability to secure additional capital to fund operations. Significant additional research and development efforts and regulatory approval will be required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unaudited condensed consolidated financial statements should be read together with our audited financial statements and accompanying notes for year ended December 31, 2025, included in our Annual Report on Form 10-K (the “Annual Report”), filed with the U.S. Securities and Exchange Commission (the “SEC”) on February 18, 2026. Any terms not defined herein take the meaning as defined in the Annual Report. The Company’s unaudited condensed consolidated financial statements are prepared in accordance with accounting principles generally accepted in the United States (“U.S. GAAP”) and the rules and regulations of the SEC regarding interim financial reporting. As permitted under those rules, certain footnotes or other financial information that are normally required by U.S. GAAP have been condensed or omitted, and, accordingly, the balance sheet as at December 31, 2025 included herein has been derived from the audited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 interim results of operations for the three and six months ended June 30, 2026 are not necessarily indicative of the results to be expected for the year ending December 31, 2026 or for any other interim period or for any other future year. The unaudited condensed consolidated financial statements comprise the financial statements of the Company and its subsidiaries. Any reference in these notes to the applicable guidance is meant to refer to authoritative U.S. GAAP as found in the Accounting Standards Codification (“ASC”) and Accounting Standards Update (“ASU”) of the Financial Accounting Standards Board (“FASB”). The unaudited condensed consolidated financial statements include the accounts of the Company and its wholly owned subsidiaries, after elimination of intercompany accounts and transactions.</w:t>
      </w:r>
    </w:p>
    <w:p>
      <w:pPr>
        <w:pStyle w:val="TextBody"/>
        <w:bidi w:val="0"/>
        <w:jc w:val="left"/>
        <w:rPr>
          <w:rFonts w:ascii="Times New Roman" w:hAnsi="Times New Roman"/>
          <w:color w:val="000000"/>
          <w:sz w:val="20"/>
        </w:rPr>
      </w:pPr>
      <w:r>
        <w:rPr>
          <w:rFonts w:ascii="Times New Roman" w:hAnsi="Times New Roman"/>
          <w:color w:val="000000"/>
          <w:sz w:val="20"/>
        </w:rPr>
        <w:t>Unless otherwise stated, the accounting policies of the Company are consistent with those described in Note 2 of the consolidated financial statements included within the Annual Report.</w:t>
      </w:r>
    </w:p>
    <w:p>
      <w:pPr>
        <w:pStyle w:val="TextBody"/>
        <w:bidi w:val="0"/>
        <w:jc w:val="left"/>
        <w:rPr/>
      </w:pPr>
      <w:r>
        <w:rPr/>
        <w:t> </w:t>
      </w:r>
    </w:p>
    <w:p>
      <w:pPr>
        <w:pStyle w:val="TextBody"/>
        <w:bidi w:val="0"/>
        <w:spacing w:before="160" w:after="160"/>
        <w:jc w:val="left"/>
        <w:rPr>
          <w:rFonts w:ascii="Times New Roman" w:hAnsi="Times New Roman"/>
          <w:b/>
          <w:color w:val="000000"/>
          <w:sz w:val="20"/>
        </w:rPr>
      </w:pPr>
      <w:r>
        <w:rPr>
          <w:rFonts w:ascii="Times New Roman" w:hAnsi="Times New Roman"/>
          <w:b/>
          <w:color w:val="000000"/>
          <w:sz w:val="20"/>
        </w:rPr>
        <w:t>Note 3. Revenue</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Menarini Supply Agreement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August 12, 2025, NewAmsterdam Pharma B.V. entered into a supply agreement with A. Menarini International Licensing S.A. (“Menarini”) to provide commercial supply of Products (as defined below) for distribution in specified European territories (the “Menarini Supply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recognizes revenue from the sale of obicetrapib tablets, as a monotherapy and as a fixed-dose combination therapy with ezetimibe, or from the sale of active pharmaceutical ingredients for the manufacture of such tablets (collectively, “Products”). The Company’s product supply revenue is recognized at a point in time when the performance obligation is satisfied by transferring control of the promised goods or services to the customer and it is probable that the Company will collect the consideration to which it is entitled. In accordance with the terms of the Menarini Supply Agreement, control of the product is transferred upon the conveyance of title, which occurs when the product is made available to the customer.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transaction price is contractually fixed at a markup to the actual cost of goods sold. Due to the cost-based nature of the agreement, the pricing structure includes a variable component which is measured using the expected value method. At each reporting period end, the Company updates its estimate of the transaction price using actual cost data and forecasted expenses. The Company considers the variable consideration constraint under ASC 606 to ensure that it is probable that a significant reversal of cumulative revenue recognized will not occur. The Company will invoice the customer upon the acceptance of purchase orders, and the transaction price is not adjusted for a significant financing component as the period between the transfer of goods and payment is less than one year. The Company states revenues net of any taxes collected from customers that are required to be remitted to various government agencies. The amount of taxes collected from customers and payable to governmental entities is included on the balance sheet as part of accrued expenses and other current liabilities.</w:t>
      </w:r>
    </w:p>
    <w:p>
      <w:pPr>
        <w:pStyle w:val="TextBody"/>
        <w:bidi w:val="0"/>
        <w:jc w:val="left"/>
        <w:rPr>
          <w:rFonts w:ascii="Times New Roman" w:hAnsi="Times New Roman"/>
          <w:color w:val="000000"/>
          <w:sz w:val="20"/>
        </w:rPr>
      </w:pPr>
      <w:r>
        <w:rPr>
          <w:rFonts w:ascii="Times New Roman" w:hAnsi="Times New Roman"/>
          <w:color w:val="000000"/>
          <w:sz w:val="20"/>
        </w:rPr>
        <w:t>Revenue consisted of the following:</w:t>
      </w:r>
    </w:p>
    <w:tbl>
      <w:tblPr>
        <w:tblW w:w="9986" w:type="dxa"/>
        <w:jc w:val="left"/>
        <w:tblInd w:w="0" w:type="dxa"/>
        <w:tblLayout w:type="fixed"/>
        <w:tblCellMar>
          <w:top w:w="28" w:type="dxa"/>
          <w:left w:w="28" w:type="dxa"/>
          <w:bottom w:w="28" w:type="dxa"/>
          <w:right w:w="28" w:type="dxa"/>
        </w:tblCellMar>
      </w:tblPr>
      <w:tblGrid>
        <w:gridCol w:w="5116"/>
        <w:gridCol w:w="146"/>
        <w:gridCol w:w="177"/>
        <w:gridCol w:w="692"/>
        <w:gridCol w:w="177"/>
        <w:gridCol w:w="177"/>
        <w:gridCol w:w="177"/>
        <w:gridCol w:w="819"/>
        <w:gridCol w:w="146"/>
        <w:gridCol w:w="146"/>
        <w:gridCol w:w="161"/>
        <w:gridCol w:w="631"/>
        <w:gridCol w:w="161"/>
        <w:gridCol w:w="161"/>
        <w:gridCol w:w="161"/>
        <w:gridCol w:w="747"/>
        <w:gridCol w:w="1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revenue attributed from R&amp;D performance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following table presents changes in the balance of the Company’s deferred revenue for the six months ended June 30, 2026: </w:t>
      </w:r>
    </w:p>
    <w:tbl>
      <w:tblPr>
        <w:tblW w:w="5260" w:type="dxa"/>
        <w:jc w:val="left"/>
        <w:tblInd w:w="0" w:type="dxa"/>
        <w:tblLayout w:type="fixed"/>
        <w:tblCellMar>
          <w:top w:w="28" w:type="dxa"/>
          <w:left w:w="28" w:type="dxa"/>
          <w:bottom w:w="28" w:type="dxa"/>
          <w:right w:w="28" w:type="dxa"/>
        </w:tblCellMar>
      </w:tblPr>
      <w:tblGrid>
        <w:gridCol w:w="4126"/>
        <w:gridCol w:w="146"/>
        <w:gridCol w:w="146"/>
        <w:gridCol w:w="63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on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of deferred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deferred revenue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Cash, cash equivalents and marketable securities</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A summary of cash, cash equivalents and marketable securities held by the Company as at June 30, 2026 and December 31, 2025 is as follows:</w:t>
      </w:r>
    </w:p>
    <w:tbl>
      <w:tblPr>
        <w:tblW w:w="10205" w:type="dxa"/>
        <w:jc w:val="left"/>
        <w:tblInd w:w="0" w:type="dxa"/>
        <w:tblLayout w:type="fixed"/>
        <w:tblCellMar>
          <w:top w:w="28" w:type="dxa"/>
          <w:left w:w="28" w:type="dxa"/>
          <w:bottom w:w="28" w:type="dxa"/>
          <w:right w:w="28" w:type="dxa"/>
        </w:tblCellMar>
      </w:tblPr>
      <w:tblGrid>
        <w:gridCol w:w="4486"/>
        <w:gridCol w:w="146"/>
        <w:gridCol w:w="178"/>
        <w:gridCol w:w="954"/>
        <w:gridCol w:w="146"/>
        <w:gridCol w:w="146"/>
        <w:gridCol w:w="342"/>
        <w:gridCol w:w="815"/>
        <w:gridCol w:w="146"/>
        <w:gridCol w:w="146"/>
        <w:gridCol w:w="271"/>
        <w:gridCol w:w="896"/>
        <w:gridCol w:w="166"/>
        <w:gridCol w:w="146"/>
        <w:gridCol w:w="146"/>
        <w:gridCol w:w="781"/>
        <w:gridCol w:w="294"/>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June 30, 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160,175</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 (Level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263,976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424,151</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 due within one year (Level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182,471</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 due within one year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27,232</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 due between one and two years (Level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26,654</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 due between one and two years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254,112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6"/>
        <w:gridCol w:w="146"/>
        <w:gridCol w:w="178"/>
        <w:gridCol w:w="954"/>
        <w:gridCol w:w="146"/>
        <w:gridCol w:w="146"/>
        <w:gridCol w:w="298"/>
        <w:gridCol w:w="859"/>
        <w:gridCol w:w="146"/>
        <w:gridCol w:w="146"/>
        <w:gridCol w:w="345"/>
        <w:gridCol w:w="822"/>
        <w:gridCol w:w="166"/>
        <w:gridCol w:w="146"/>
        <w:gridCol w:w="146"/>
        <w:gridCol w:w="781"/>
        <w:gridCol w:w="294"/>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December 31, 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219,394</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 (Level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270,608</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 due within one year (Level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138,289</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 due within one year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 due between one and two years (Level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70,830</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 due between one and two years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21,779</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238,848</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Fair Value Measurements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at June 30, 2026 and December 31, 2025, the Company’s financial liabilities recognized at fair value on a recurring basis consisted of the following:</w:t>
      </w:r>
    </w:p>
    <w:p>
      <w:pPr>
        <w:pStyle w:val="TextBody"/>
        <w:bidi w:val="0"/>
        <w:jc w:val="left"/>
        <w:rPr/>
      </w:pPr>
      <w:r>
        <w:rPr/>
        <w:t> </w:t>
      </w:r>
    </w:p>
    <w:tbl>
      <w:tblPr>
        <w:tblW w:w="8828" w:type="dxa"/>
        <w:jc w:val="left"/>
        <w:tblInd w:w="0" w:type="dxa"/>
        <w:tblLayout w:type="fixed"/>
        <w:tblCellMar>
          <w:top w:w="28" w:type="dxa"/>
          <w:left w:w="28" w:type="dxa"/>
          <w:bottom w:w="28" w:type="dxa"/>
          <w:right w:w="28" w:type="dxa"/>
        </w:tblCellMar>
      </w:tblPr>
      <w:tblGrid>
        <w:gridCol w:w="4711"/>
        <w:gridCol w:w="146"/>
        <w:gridCol w:w="187"/>
        <w:gridCol w:w="443"/>
        <w:gridCol w:w="146"/>
        <w:gridCol w:w="146"/>
        <w:gridCol w:w="146"/>
        <w:gridCol w:w="676"/>
        <w:gridCol w:w="146"/>
        <w:gridCol w:w="146"/>
        <w:gridCol w:w="187"/>
        <w:gridCol w:w="443"/>
        <w:gridCol w:w="146"/>
        <w:gridCol w:w="146"/>
        <w:gridCol w:w="146"/>
        <w:gridCol w:w="67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warrant liability (Public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warrant liability (Private 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15" w:type="dxa"/>
        <w:jc w:val="left"/>
        <w:tblInd w:w="0" w:type="dxa"/>
        <w:tblLayout w:type="fixed"/>
        <w:tblCellMar>
          <w:top w:w="28" w:type="dxa"/>
          <w:left w:w="28" w:type="dxa"/>
          <w:bottom w:w="28" w:type="dxa"/>
          <w:right w:w="28" w:type="dxa"/>
        </w:tblCellMar>
      </w:tblPr>
      <w:tblGrid>
        <w:gridCol w:w="4711"/>
        <w:gridCol w:w="146"/>
        <w:gridCol w:w="146"/>
        <w:gridCol w:w="676"/>
        <w:gridCol w:w="146"/>
        <w:gridCol w:w="146"/>
        <w:gridCol w:w="146"/>
        <w:gridCol w:w="571"/>
        <w:gridCol w:w="146"/>
        <w:gridCol w:w="146"/>
        <w:gridCol w:w="187"/>
        <w:gridCol w:w="443"/>
        <w:gridCol w:w="146"/>
        <w:gridCol w:w="146"/>
        <w:gridCol w:w="146"/>
        <w:gridCol w:w="67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warrant liability (Public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warrant liability (Private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six months ended June 30, 2026, the Company transferred its Public Warrant liability from Level 1 to Level 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changed the valuation method for both Public and Private Placement Warrant liabilities. The change was a result of a decrease in the level of observable market activity for the Company’s Public Warrants. While quoted prices for the Public Warrants remain observable, the Company determined that such prices are not representative of fair value without adjustment, due to the reduced trading volume.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Following the transfer, the Company estimates fair value using a Black-Scholes option pricing model. The model incorporates observable market inputs, including trading price of the Company’s Ordinary Shares, the volatility of the price of the Company’s Ordinary Shares and the risk-free interest rate.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Note 6. Prepayments and Other Receivables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Prepayments and other receivables consisted of the following:</w:t>
      </w:r>
    </w:p>
    <w:tbl>
      <w:tblPr>
        <w:tblW w:w="5952" w:type="dxa"/>
        <w:jc w:val="left"/>
        <w:tblInd w:w="0" w:type="dxa"/>
        <w:tblLayout w:type="fixed"/>
        <w:tblCellMar>
          <w:top w:w="28" w:type="dxa"/>
          <w:left w:w="28" w:type="dxa"/>
          <w:bottom w:w="28" w:type="dxa"/>
          <w:right w:w="28" w:type="dxa"/>
        </w:tblCellMar>
      </w:tblPr>
      <w:tblGrid>
        <w:gridCol w:w="3406"/>
        <w:gridCol w:w="146"/>
        <w:gridCol w:w="146"/>
        <w:gridCol w:w="676"/>
        <w:gridCol w:w="146"/>
        <w:gridCol w:w="146"/>
        <w:gridCol w:w="193"/>
        <w:gridCol w:w="902"/>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fee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prepayments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17" w:type="dxa"/>
        <w:jc w:val="left"/>
        <w:tblInd w:w="0" w:type="dxa"/>
        <w:tblLayout w:type="fixed"/>
        <w:tblCellMar>
          <w:top w:w="28" w:type="dxa"/>
          <w:left w:w="28" w:type="dxa"/>
          <w:bottom w:w="28" w:type="dxa"/>
          <w:right w:w="28" w:type="dxa"/>
        </w:tblCellMar>
      </w:tblPr>
      <w:tblGrid>
        <w:gridCol w:w="4771"/>
        <w:gridCol w:w="146"/>
        <w:gridCol w:w="146"/>
        <w:gridCol w:w="676"/>
        <w:gridCol w:w="146"/>
        <w:gridCol w:w="146"/>
        <w:gridCol w:w="193"/>
        <w:gridCol w:w="902"/>
        <w:gridCol w:w="1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materials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Note 8. Shareholders’ Equity</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At-the-Market Offering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August 9, 2024, the Company entered into an amended and restated sales agreement (the “Sales Agreement”) with TD Securities (USA) LLC (“TD Cowen”), pursuant to which the Company may issue and sell from time to time up to $250 million of the Company's Ordinary Shares through or to TD Cowen as the sales agent or acting as principal in any method deemed to be an “at the market offering.” TD Cowen will receive a commission of up to 3.0% of the gross proceeds of any Ordinary Shares sold pursuant to the Sales Agreement. During the six months ended June 30, 2026, the Company did not sell any Ordinary Shares pursuant to the Sales Agreement.</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Note 9. Share-Based Compensation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has four Share-based payment plans in place as at June 30, 2026:</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Long-Term Incentive Plan (the “LTIP Plan”);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Supplementary Long-Term Incentive Plan (the “Supplementary Plan”);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Rollover Option Plan (the “Rollover Plan”);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Inducement Plan (the “Inducement Plan,” together with the LTIP Plan, the Supplementary Plan and the Rollover Plan, the “Plans”)</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The Plans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Plans are equity-settled, and the Company may grant various forms of equity awards, including the granting of options to purchase Ordinary Shares (“Company Options”) and restricted stock units (“RSUs”), pursuant to the Plans. In total, as of June 30, 2026, a maximum of 34,155,321 Ordinary Shares may be reserved for issuance pursuant to the Plans. The number of Ordinary Shares reserved for grant under the LTIP Plan will increase annually on January 1 of each calendar year by 5% of the then issued and outstanding Ordinary Shares or such lower number as may be determined by the Company’s Board of Directors.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contractual term for options granted under the Plans is 10 years from grant date. In general, each Company Option has a four-year vesting period with 25% of the shares underlying the option vesting after one year and the remaining 75% of the shares underlying the option vesting in equal monthly installments thereafter over the following three years.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general, each RSU, other than the Earnout RSUs, has a three-year vesting period with one-third of the underlying shares vesting on each one-year anniversary of the vesting start date.</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Modification of Company Option and RSUs: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six months ended June 30, 2026, a total of 655,171 Company Options and 9,000 RSUs granted to an employee were modified. For the 9,000 RSUs, the vesting period was shortened. For 226,930 of the modified Company Options, the vesting period was shortened and the exercise period extended. For the remaining modified 428,241 Company Options, only the exercise period was extended. At the modification date, 124,033 of the modified Company Options and the 9,000 modified RSUs were not probable of vesting under the original terms, and the total fair value of the modified awards of $2.3 million was recognized as an expense. Any expense previously recognized for such Company Options and RSUs was reversed on the modification date, and the full fair value of the modified Company Options and RSUs was recognized immediately. For the remaining 531,138 modified Company Options, which were probable of vesting under both the original and modified terms, and the incremental fair value of $0.1 million was recognized on the modification date.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changes for the six months ended June 30, 2026 in the number of Company Options outstanding and their related weighted average exercise prices are as follows: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0"/>
        <w:gridCol w:w="146"/>
        <w:gridCol w:w="162"/>
        <w:gridCol w:w="1158"/>
        <w:gridCol w:w="166"/>
        <w:gridCol w:w="146"/>
        <w:gridCol w:w="439"/>
        <w:gridCol w:w="1195"/>
        <w:gridCol w:w="146"/>
        <w:gridCol w:w="146"/>
        <w:gridCol w:w="642"/>
        <w:gridCol w:w="1593"/>
        <w:gridCol w:w="146"/>
        <w:gridCol w:w="146"/>
        <w:gridCol w:w="226"/>
        <w:gridCol w:w="1213"/>
        <w:gridCol w:w="295"/>
      </w:tblGrid>
      <w:tr>
        <w:trPr/>
        <w:tc>
          <w:tcPr>
            <w:tcW w:w="2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 of USD)</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20,625,368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19,871,913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340,768</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229,125</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weighted average grant date fair value of Company Options, estimated as of the grant date using the Black-Scholes option pricing model, was $20.43, and $12.68 per option for options granted during the six months ended June 30, 2026 and 2025, respectively. The total intrinsic value (the amount by which the fair market value exceeded the exercise price) of Company Options exercised during the six months ended June 30, 2026 and 2025 was $76.9 million and $20.1 million, respectively. Weighted average assumptions used to apply this pricing model were as follows:</w:t>
      </w:r>
    </w:p>
    <w:tbl>
      <w:tblPr>
        <w:tblW w:w="4564" w:type="dxa"/>
        <w:jc w:val="left"/>
        <w:tblInd w:w="0" w:type="dxa"/>
        <w:tblLayout w:type="fixed"/>
        <w:tblCellMar>
          <w:top w:w="28" w:type="dxa"/>
          <w:left w:w="28" w:type="dxa"/>
          <w:bottom w:w="28" w:type="dxa"/>
          <w:right w:w="28" w:type="dxa"/>
        </w:tblCellMar>
      </w:tblPr>
      <w:tblGrid>
        <w:gridCol w:w="1786"/>
        <w:gridCol w:w="146"/>
        <w:gridCol w:w="146"/>
        <w:gridCol w:w="146"/>
        <w:gridCol w:w="180"/>
        <w:gridCol w:w="575"/>
        <w:gridCol w:w="334"/>
        <w:gridCol w:w="180"/>
        <w:gridCol w:w="180"/>
        <w:gridCol w:w="575"/>
        <w:gridCol w:w="31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60"/>
        <w:jc w:val="left"/>
        <w:rPr/>
      </w:pPr>
      <w:r>
        <w:rPr/>
        <w:t> </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Expected Term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expected term represents the period that the Company Options are expected to be outstanding and is determined using the simplified method (based on the mid-point between the vesting date and the end of the contractual term). The Company utilizes this method due to lack of historical exercise data and the plain-vanilla nature of the Company Options.</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Expected Volatility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Since the Company was privately held through November 2022, it alone does not have sufficient relevant company-specific historical data to support its expected volatility alone. In prior periods, due to the insufficiency of historical volatility data on the Company’s own securities, the expected volatility input was determined using comparable companies alone. Beginning on January 1, 2024, the expected volatility input was determined using a weighted average calculation considering the volatility of the Company’s own securities and the volatilities of a representative group of publicly traded biopharmaceutical companies over a period equal to the expected term of the stock option grants. Initially, the volatility of the Company’s Ordinary Shares is assigned a weighting of 10%. This weighting will be increased by 5% per calendar quarter (i.e. 55% in the second quarter of 2026), until the expected volatility input is based entirely on the historical volatility of the Company’s Ordinary Shares. For purposes of identifying comparable companies, the Company selected companies with comparable characteristics to it, including enterprise value, risk profiles, position within the industry, and with historical share price information sufficient to meet the expected term of the Company Options. The historical volatility data was computed using the daily closing prices for the selected companies’ shares during the equivalent period of the calculated expected term of the Company Options.</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Risk-Free Interest Rate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risk-free interest rate is based upon the U.S. Treasury yield curve in effect at the time of grant, with a term that approximates the expected term of the Company Options.</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Expected Dividend Yield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expected dividend yield is zero as the Company currently has no history or expectation of declaring dividends on its Ordinary Shares.</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changes for the six months ended June 30, 2026 in the number of RSUs outstanding are as follows: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35" w:type="dxa"/>
        <w:jc w:val="left"/>
        <w:tblInd w:w="0" w:type="dxa"/>
        <w:tblLayout w:type="fixed"/>
        <w:tblCellMar>
          <w:top w:w="28" w:type="dxa"/>
          <w:left w:w="28" w:type="dxa"/>
          <w:bottom w:w="28" w:type="dxa"/>
          <w:right w:w="28" w:type="dxa"/>
        </w:tblCellMar>
      </w:tblPr>
      <w:tblGrid>
        <w:gridCol w:w="3151"/>
        <w:gridCol w:w="146"/>
        <w:gridCol w:w="195"/>
        <w:gridCol w:w="1125"/>
        <w:gridCol w:w="166"/>
        <w:gridCol w:w="146"/>
        <w:gridCol w:w="810"/>
        <w:gridCol w:w="2205"/>
        <w:gridCol w:w="2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summarizes the share-based compensation expense recognized by type of award and line-item:</w:t>
      </w:r>
    </w:p>
    <w:tbl>
      <w:tblPr>
        <w:tblW w:w="9642" w:type="dxa"/>
        <w:jc w:val="left"/>
        <w:tblInd w:w="0" w:type="dxa"/>
        <w:tblLayout w:type="fixed"/>
        <w:tblCellMar>
          <w:top w:w="28" w:type="dxa"/>
          <w:left w:w="28" w:type="dxa"/>
          <w:bottom w:w="28" w:type="dxa"/>
          <w:right w:w="28" w:type="dxa"/>
        </w:tblCellMar>
      </w:tblPr>
      <w:tblGrid>
        <w:gridCol w:w="4381"/>
        <w:gridCol w:w="146"/>
        <w:gridCol w:w="146"/>
        <w:gridCol w:w="146"/>
        <w:gridCol w:w="167"/>
        <w:gridCol w:w="775"/>
        <w:gridCol w:w="167"/>
        <w:gridCol w:w="167"/>
        <w:gridCol w:w="167"/>
        <w:gridCol w:w="775"/>
        <w:gridCol w:w="146"/>
        <w:gridCol w:w="146"/>
        <w:gridCol w:w="152"/>
        <w:gridCol w:w="707"/>
        <w:gridCol w:w="152"/>
        <w:gridCol w:w="152"/>
        <w:gridCol w:w="152"/>
        <w:gridCol w:w="707"/>
        <w:gridCol w:w="2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 by type of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8,008</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36,383</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 by line-item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23,632</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36,383</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2026, there was $53.0 million and $17.4 million of unrecognized compensation cost related to Company Options and RSUs, respectively, that have not yet vested. These costs are expected to be recognized over a weighted average period until fully vested of 3.0 years and 2.2 years for the Company Options and RSUs, respectively.</w:t>
      </w:r>
    </w:p>
    <w:p>
      <w:pPr>
        <w:pStyle w:val="TextBody"/>
        <w:bidi w:val="0"/>
        <w:spacing w:before="0" w:after="160"/>
        <w:jc w:val="left"/>
        <w:rPr>
          <w:rFonts w:ascii="Times New Roman" w:hAnsi="Times New Roman"/>
          <w:color w:val="000000"/>
          <w:sz w:val="20"/>
          <w:u w:val="single"/>
        </w:rPr>
      </w:pPr>
      <w:r>
        <w:rPr>
          <w:rFonts w:ascii="Times New Roman" w:hAnsi="Times New Roman"/>
          <w:color w:val="000000"/>
          <w:sz w:val="20"/>
          <w:u w:val="single"/>
        </w:rPr>
        <w:t>Employee Stock Purchase Plan</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adopted and its shareholders approved the New Amsterdam Pharma Company N.V. 2026 Employee Stock Purchase Plan (the “ESPP”), which is intended to qualify as an “employee stock purchase plan” within the meaning of Section 423(b) of the Internal Revenue Code. The aggregate number of Ordinary Shares authorized for issuance under the ESPP is 1,150,000. Under the ESPP, eligible employees of the Company who elect to participate are granted an option to purchase Ordinary Shares at 85% of the lower of the fair market value of the Ordinary Shares on either the first day of the offering period or on the applicable purchase date. The ESPP permits participating employees to make contributions, in the form of payroll deductions, to purchase Ordinary Shares in an amount between 1%-15% of eligible compensation, subject to limits specified in the plan document and the Internal Revenue Code. The Company estimates the fair value using the Black-Scholes model as of the commencement date of the offering period and recognizes share-based compensation on a straight-line basis over the offering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initial six-month offering period under the ESPP commenced on July 1,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10.Segment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one operating segment and, therefore, one reportable segment, which comprises the discovery, development and commercialization of transformative therapies for cardio-metabolic diseases.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To date, the Company’s license agreement with Menarini, dated June 23, 2022, as amended (the “Menarini License”) and the Menarini Supply Agreement have been the only sources of revenue to the Company, and all such revenues derive from Italy.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chief operating decision maker, who is the Company’s chief executive officer, assesses performance and decides how to allocate resources based on consolidated net loss and loss before tax, adjusted for certain non-cash and non-operating items such as share-based compensation, change in fair value of derivatives and foreign currency gains or losses. Adjusted loss before taxes is used to monitor budget versus actuals and evaluate the operations of the Company. The measure of segment assets is reported on the balance sheet as total consolidated assets. The future prospects of the Company are highly dependent upon the results of its ongoing clinical trials and interactions with regulatory agencies. Such results and interactions are utilized together with assessment of the comparison of budget versus actuals in order to make decisions regarding the allocation of resources.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the adjusted loss before taxes for the Company’s single segment for each of the three and 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3316"/>
        <w:gridCol w:w="146"/>
        <w:gridCol w:w="156"/>
        <w:gridCol w:w="787"/>
        <w:gridCol w:w="177"/>
        <w:gridCol w:w="156"/>
        <w:gridCol w:w="156"/>
        <w:gridCol w:w="787"/>
        <w:gridCol w:w="166"/>
        <w:gridCol w:w="146"/>
        <w:gridCol w:w="146"/>
        <w:gridCol w:w="841"/>
        <w:gridCol w:w="166"/>
        <w:gridCol w:w="146"/>
        <w:gridCol w:w="146"/>
        <w:gridCol w:w="736"/>
        <w:gridCol w:w="3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R&amp;D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Manufacturing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Regulatory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Net Loss per Ordinary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the purposes of calculating the weighted-average number of Ordinary Shares outstanding, the Ordinary Shares underlying the outstanding pre-funded warrants to purchase Ordinary Shares (the “Pre-Funded Warrants”) issued in the February 2024 Offering and the December 2024 Offering are included.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Basic and diluted net loss per Ordinary Share was calculated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4"/>
        <w:gridCol w:w="146"/>
        <w:gridCol w:w="146"/>
        <w:gridCol w:w="1141"/>
        <w:gridCol w:w="166"/>
        <w:gridCol w:w="146"/>
        <w:gridCol w:w="146"/>
        <w:gridCol w:w="1141"/>
        <w:gridCol w:w="166"/>
        <w:gridCol w:w="146"/>
        <w:gridCol w:w="146"/>
        <w:gridCol w:w="1141"/>
        <w:gridCol w:w="166"/>
        <w:gridCol w:w="146"/>
        <w:gridCol w:w="146"/>
        <w:gridCol w:w="1141"/>
        <w:gridCol w:w="211"/>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Ordinary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123,370,232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118,556,492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122,547,689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117,347,434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Ordinary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weighted-average Ordinary Shares outstanding as they would be anti-dilutive:</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1876"/>
        <w:gridCol w:w="146"/>
        <w:gridCol w:w="146"/>
        <w:gridCol w:w="1036"/>
        <w:gridCol w:w="146"/>
        <w:gridCol w:w="146"/>
        <w:gridCol w:w="146"/>
        <w:gridCol w:w="1036"/>
        <w:gridCol w:w="2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19,871,913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22,204,136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2,616,539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23,286,062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25,539,259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Commitments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in the normal course of business, entered into a variety of agreements and financial commitments with contract research organizations, contract manufacturing organizations, and other third parties for preclinical and clinical development and manufacturing services. The terms generally provide the Company with the option to cancel, reschedule and adjust its requirements based on the Company’s business needs, prior to the delivery of goods or performance of services. Payments due upon cancellation generally consist only of payments for services provided or expenses incurred, including non-cancellable obligations of the Company’s service providers, up to the date of cancellation. However, some of the Company’s service providers also charge cancellation fees upon cancellation. The amount and timing of such payments are not known, but at June 30, 2026 they are estimated to be a maximum of $62.0 million.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According to the terms of the Menarini License, the Company will be responsible for development and commercialization costs related to Licensed Products (as defined in the Menarini License) other than those in the Menarini Territory (as defined in the Menarini License). In addition, under specified conditions of the agreement, the Company agreed to bear 50% of certain development costs incurred by the other party in the development of the Licensed Products in the Menarini Territory.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13. Related Parties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ordinary course of business, the Company may enter into transactions with entities that are associated with a party that meets the criteria of a related party of the Company. These transactions are reviewed quarterly and to date have not been material to the Company’s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unaudited condensed consolidated financial statements, included elsewhere in this Quarterly Report, and this Management’s Discussion and Analysis of Financial Condition and Results of Operations should be read together with our audited financial statements and accompanying notes for the year ended December 31, 2025, and the related Management’s Discussion and Analysis of Financial Condition and Results of Operations included in our Annual Report on Form 10-K (the “Annual Report”), filed with the U.S. Securities and Exchange Commission (the “SEC”) on February 18, 2026.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discussed in the sections titled “Risk Factors” and “Special Note Regarding Forward-Looking Statements” in the Annual Report and this Quarterly Report. Our operating results are not necessarily indicative of results that may occur for the full fiscal year or any other future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We are a late-stage biopharmaceutical company whose mission is to improve patient care in populations with cardiometabolic diseases where currently approved therapies have not been adequate or well tolerated. We seek to fill a significant unmet need for a safe, well tolerated and convenient low-density lipoprotein cholesterol (“LDL-C”) lowering therapy. In multiple Phase 3 trials, we have investigated obicetrapib, an oral, low-dose, once-daily, highly selective cholesteryl ester transfer protein (“CETP”) inhibitor, alone or as a fixed-dose combination ("FDC") with ezetimibe, as preferred LDL-C lowering therapies to be used as an adjunct to statin therapy for patients at risk of cardiovascular disease (“CVD”) with elevated LDL-C, for whom existing therapies are not sufficiently effective or well tolerated. We believe that CETP inhibition may also play a role in other indications by potentially mitigating the risk of developing diseases such as Alzheimer’s disease (“AD”).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Obicetrapib is a next-generation, oral, low-dose, highly selective CETP inhibitor that we are developing to potentially overcome the limitations of current LDL-C lowering treatments. We believe that obicetrapib has the potential to be a once-daily oral CETP inhibitor for lowering LDL-C, if approved. In each of our Phase 3 clinical trials, BROADWAY and BROOKLYN, evaluating obicetrapib as an adjunct to high-intensity statin therapy, obicetrapib met its primary and secondary endpoints, with statistically significant reductions in LDL-C observed. In our Phase 3 TANDEM clinical trial, evaluating obicetrapib in combination with ezetimibe as an adjunct to high-intensity statin therapy, obicetrapib in combination with ezetimibe met its primary and secondary endpoints, with statistically significant reductions in LDL-C observed. Following the successful completion and positive topline results of the Phase 3 BROADWAY, TANDEM, and BROOKLYN trials, we plan to announce additional clinical data from these trials relating to obicetrapib and the FDC of obicetrapib plus ezetimibe during 2026. In five of our Phase 2 clinical trials, TULIP, ROSE, OCEAN, ROSE2 and our Japan Phase 2b clinical trial, evaluating obicetrapib as a monotherapy or a combination therapy with ezetimibe 10 mg, we observed statistically significant LDL-C lowering. In each of these trials, side effects were similar in frequency and severity to placebo including muscle-related side effects and drug-related treatment emergent serious adverse events. We have observed obicetrapib to be well tolerated in an aggregate of over 3,500 patients with low or moderately elevated LDL-C levels (“dyslipidemia”) in our clinical trials to date. Furthermore, we believe that obicetrapib’s oral delivery, demonstrated activity at low doses, chemical properties and tolerability make it well-suited for combination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Lowering of LDL-C has been associated with major adverse cardiovascular events (“MACE”) benefit in trials of LDL-C lowering drugs, including the REVEAL trial with the CETP inhibitor anacetrapib. In our Phase 3 BROADWAY clinical trial, we observed a 21% reduction in the exploratory MACE endpoint (coronary heart disease death, non-fatal myocardial infarction, non-fatal stroke and coronary revascularization) and we are performing a Phase 3 cardiovascular outcomes trial (“CVOT”), PREVAIL, to reconfirm this relationship.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Obicetrapib has shown to not only reduce LDL-C but also several additional biomarkers associated with MACE. To date, obicetrapib has shown reductions in non-HDL-C, apolipoprotein B, and small dense lipoprotein particles. In our clinical trials, we have also observed reductions in Lp(a), which is believed to be an independent MACE risk factor, along with reductions in total lipoprotein (“LDL”) particles and more specifically small LDL particles, which are believed to be more atherogenic particles.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CVD is a leading cause of death worldwide. Atherosclerotic cardiovascular disease (“ASCVD”) is primarily caused by atherosclerosis, which involves the build-up of fatty material within the inner walls of the arteries. Atherosclerosis is the primary cause of heart attacks, strokes and peripheral vascular disease. One of the most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important risk factors for ASCVD is hypercholesterolemia, which refers to elevated LDL-C levels within the body, commonly known as high cholesterol.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proportion of patients with high cholesterol do not achieve acceptable LDL-C levels using statin therapy alone. We estimate that in the United States there are approximately 30 million patients that are not at their risk-based LDL-C goals despite treatment with lipid lowering therapy, including approximately 13 million with ASCVD. Existing non-statin treatment options have been largely unable to address the needs of patients with high cholesterol due to limited efficacy, an inconvenient injectable administration route and, in the past, market access restrictions. It is estimated that over 75% of ASCVD and heterozygous familial hypercholesterolemia (“HeFH”) outpatients prefer oral drugs to injectable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develop and commercialize an LDL-C lowering monotherapy and an FDC therapy, which offers the advantage of a single, low dose, once-daily oral pill, and fulfills the significant unmet need for an effective and convenient LDL-C lowering therapy. If we obtain marketing approval, we intend to commercialize obicetrapib for patients with ASCVD and/or HeFH and elevated levels of LDL-C despite being treated with currently available optimal lipid lowering therapy. Our goal is to submit a New Drug Application (“NDA”) in the U.S. for the FDC shortly after submitting an NDA for obicetrapib as a monotherapy. We expect that efficacy and safety data from BROADWAY and BROOKLYN will be described in the FDC product label,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partnered with A. Menarini International Licensing S.A. (“Menarini”), providing them with the exclusive rights to commercialize obicetrapib 10 mg, either as a sole active ingredient product or in a FDC with ezetimibe (the “Licensed Products”), in the majority of European countries (the Menarini Territory), if approved. In August 2025, the European Medicines Agency (the “EMA”) accepted for review the Marketing Authorization Applications (“MAAs”) submitted by Menarini for obicetrapib 10 mg monotherapy and the FDC of 10 mg obicetrapib plus 10 mg ezetimibe for the treatment of primary hypercholesterolemia, including heterozygous familial and non-familial or mixed dyslipidemia. Subsequently, MAAs were also submitted to regulators in the United Kingdom (“UK”) and Switzerland and accepted for review. The submissions are supported by data from the BROADWAY, BROOKLYN, and TANDEM pivotal Phase 3 trials. In July 2026, we announced that the Committee for Medicinal Products for Human Use (“CHMP”) of the EMA has adopted a positive opinion recommending marketing authorization for obicetrapib 10 mg monotherapy and 10 mg obicetrapib plus 10 mg ezetimibe fixed-dose combination (“FDC”) for patients with primary hypercholesterolemia, both heterozygous familial (“HeFH”) and non-familial or mixed dyslipidemia. We anticipate that Menarini will receive decisions on the MAAs from each of the regulators later this year. If the MAAs are approved by the regulators, Menarini will be required to use commercially reasonable efforts to commercialize obicetrapib in the Menarini Territory and could potentially launch these products in the fourth quarter of 2026 in Germany and the UK.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current plan is to pursue development and, subject to the receipt of marketing approval, commercialization of obicetrapib in the United States ourselves, and to consider additional partners for jurisdictions outside of the United States and Europe, including in Japan and China. In addition to our partnership with Menarini, we may in the future utilize a variety of types of collaboration, license, monetization, distribution and other arrangements with other third parties relating to the development or commercialization, once approved, of obicetrapib or future product candidates or indications. We are also regularly evaluating the potential acquisition or license of new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conducted two Phase 3 pivotal clinical trials, BROADWAY and BROOKLYN, to evaluate obicetrapib as a monotherapy used as an adjunct to maximally tolerated lipid-lowering therapies to potentially enhance LDL-C lowering in patients with ASCVD and/or HeFH. In March 2022, we commenced our Phase 3 PREVAIL CVOT, which is designed to assess the potential of obicetrapib to reduce occurrences of MACE, including cardiovascular death, non-fatal myocardial infarction, total stroke and total coronary revascularization, in at least 9,000 patients. We completed enrollment in PREVAIL in April 2024. We expect the minimum 2.5 year follow-up period for the last participant in PREVAIL to be satisfied at the end of the 2026, but the PREVAIL trial protocol requires PREVAIL to continue until the target number of MACE events have occurred. Based on our review of preliminary blinded PREVAIL data following the second anniversary of the completion of enrollment, including a Year 1 event rate consistent with that we observed in BROADWAY and a Year 1-to-Year 2 overall MACE event rate lower than expected, we have decided to conduct an interim analysis of PREVAIL data in the fourth quarter of 2026 coinciding with reaching the minimum 2.5-year follow-up period for the trial. The blinded PREVAIL data available to us is preliminary and subject to change as additional MACE events continue to be identified and adjudicated (including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the Year 1-to-Year 2 period discussed above). Additionally, the Year 1 and Year 1-to-Year 2 MACE event trends observed to date may not be indicative of future trends.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interim analysis will be conducted by the Independent Data Safety Monitoring Board (“DSMB”) for the trial, and will remain blinded to us. Based on the analysis, we will receive a recommendation from the DSMB based on certain pre-specified criteria that we have set to end the trial early for efficacy or futility, as well as other considerations for which the DSMB has discretion, or if such criteria are not achieved, to continue the trial until the target number of MACE events has occurred. Only the DSMB will have access to unblinded data in connection with the interim analysis. We expect to receive the DSMB’s recommendation based on the interim analysis in the first quarter of 2027. If the interim analysis results in the trial being stopped early for efficacy or futility, then we will initiate activities to wind-down the study over the next few months including, among other things, final patient study visits and data collection procedures, to enable database lock and unblinding of the study. If the interim analysis results in the trial continuing, we expect to complete PREVAIL by the end of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we completed enrollment of 323 patients in REMBRANDT, a placebo-controlled, double-blind, randomized, Phase 3 trial is being conducted in adult participants with high-risk ASCVD with evidence of coronary plaque who are not adequately controlled by their maximally tolerated lipid-modifying therapy, with the aim to assess the impact of the obicetrapib 10 mg plus ezetimibe 10 mg FDC daily on lipid-rich coronary plaque and arterial wall inflammation characteristics. We are also conducting the RUBENS Phase 3 trial. Initiated in December 2025, this trial is evaluating obicetrapib alone or in combination with ezetimibe in patients with type 2 diabetes or metabolic syndrome that require additional lowering of LDL-C despite treatment with available therapy. The trial is expected to enroll approximately 300 patients, with topline data expected by year end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cardiometabolic program, we are exploring the potential application of CETP inhibition in other indications, including AD and diabetes. Based on the lipid-modifying effects of CETP inhibition observed in our clinical trials for obicetrapib to date, we have conducted preclinical and early clinical evaluations of obicetrapib in AD. We initiated a Phase 2a clinical trial in patients with early AD to evaluate the pharmacodynamic and pharmacokinetic effects, safety and tolerability of obicetrapib, and announced initial data from this trial in September 2023. In July 2025, we announced data from the prespecified AD biomarker analysis in our BROADWAY clinical trial. Based on these results, we expect to initiate a new clinical trial evaluating obicetrapib in patients with early AD in 2026. Clinically demonstrated anti-diabetic benefits have also been observed with CETP inhibition in Phase 3 CVOTs that, if seen in obicetrapib, would differentiate it from current treatment alternatives, especially statin therapy. We are planning preclinical studies to examine the potential of obicetrapib for patients suffering from diabetes and have included new onset of Type 2 diabetes as an endpoint in our PREVAIL CVOT, as measured by adverse events (“AEs”) indicating Type 2 diabetes, initiation of anti-diabetes medication after confirmed diabetes diagnosis or high levels of hemoglobin A1c and fasting plasma glucose. In the Phase 3 BROADWAY trial, we observed a statistically significant improvement in these prespecified AEs of special interest after one year of treatment that we hope to reconfirm in the PREVAIL CVOT trial.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Components of our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significant revenue from the sale of pharmaceutical products. Our revenue has been primarily derived from our license agreement with Menarini (the “Menarini License”). Two performance obligations for the Menarini License were identified at contract inception, comprising a license to use our intellectual property (the “license performance obligation”) and a promise to continue the development activities for the licensed compound (the “R&amp;D performance obligation”). Pursuant to the Menarini License, we received a non-refundable, non-creditable upfront amount of $120.9 million (€115.0 million) from Menarini on July 7, 2022, of which $98.6 million (€93.5 million) was attributed to the license performance obligation and recognized as revenue upon the execution of the Menarini License on June 23, 2022. The remaining $22.3 million (€21.5 million) was attributed to the R&amp;D performance obligation and initially recognized as deferred revenue. During the year ending December 31, 2025 the R&amp;D performance obligation was satisfied and all deferred revenue related to such performance obligation was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partial contribution to our costs of development of the Licensed Products, Menarini paid us €27.5 million, in two equal annual installments. Due to the scientific uncertainties around the commercialization of the Licensed Products based on the success of clinical trials, which is out of our control, the fixed €27.5 million was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considered constrained at contract execution and was not initially recognized within the transaction price until it became highly probable of no significant revenue reversal. Both annual development cost contributions have since been recognized within the transaction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Menarini License, we are also entitled to receive certain cost sharing payments, sales-based royalties and payments based upon the achievement of defined development, regulatory and commercial milestones linked to the enhanced value of the license performance obligation. These milestones are contingent payments and represent variable considerations that are not initially recognized within the transaction price, due to the scientific uncertainties around the commercialization of the Licensed Products based on the success of clinical trials. Our ability to receive and generate revenue from these payments is dependent upon a number of factors, including our ability to successfully complete the development of and obtain regulatory approval for obicetrapib within the Menarini Territory. The uncertainty of achieving these milestones significantly impacts our ability to generate revenue. At the end of each reporting period, we assess the probability of significant reversals for any amounts that become likely to be realized prior to recognizing the variable consideration associated with these payments within the transaction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entered into a supply agreement with Menarini (the “Menarini Supply Agreement”) to provide commercial supply of obicetrapib monotherapy and obicetrapib and ezetimibe fixed-dose combination finished products in bulk tablet form (the “Drug Products”) for distribution by Menarini in specified European territories.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from the sale of Drug Products, and from the sale of active pharmaceutical ingredients to Menarini for the manufacturer of such tablets. Our product supply revenue is recognized at a point in time when the performance obligation is satisfied by transferring control of the promised goods or services to the customer and it is probable that we will collect the consideration to which we are entitled. In accordance with the terms of the Menarini Supply Agreement, control of the product is transferred upon the conveyance of title, which occurs when the product is made available to Menarini. The transaction price is contractually fixed at a markup of the actual cost of goods sold. Due to the cost-based nature of the agreement, the pricing structure includes a variable component which is measured using the expected value method. At each reporting period end, we update our estimate of the transaction price using actual cost data and forecasted expenses. We state revenues net of any taxes collected from customers that are required to be remitted to various government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revenue generated from potential future collaborations or product sales may vary due to the many uncertainties in the development of obicetrapib and other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an expense when incurred and are typically made up of costs from our clinical and preclinical activities, drug development and manufacturing costs, and costs for contract research organizations (“CROs”) and investigative sites. Costs for certain development activities, such as clinical trials, are recognized based on an evaluation of the progress to completion of specific tasks using data provided by vendors of their actual costs incurred. At each balance sheet date, we estimate the level of services provided by vendors and the associated expenditure incurred for the services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such costs are for the purpose of advancing our product candidates to successfully complete clinical development, attain regulatory approval and, if approved, commercialize our product candidates. Much of our current focus in our ongoing trials is on patient recruitment and retention and data cleaning. Research and development expenses consist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expenses primarily incurred by CROs assisting with our sponsored clinical trials and including clinical investigator costs, patient enrollments and costs of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expenses arising from investments in commercial manufacturing capabilities and active pharmaceutical ingredient and drug product development as performed by our contract manufacturing organizations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obtaining potential regulatory approval of our product candidates, including preparation and submission of filings, ongoing monitoring and compliance with comments and recommendations provided by regulatory authorities, and regulatory-related advisory fees;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contracted personnel and employment costs attributed to research and development efforts, which includes management fees, salaries, share-based compensation expenses, bonus plans and payments to contractors who work for us for a fixed number of hours per week or per month;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nonclinical research and development expenses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clinical costs such as clinical trial insurance and other consultancy fees.</w:t>
      </w:r>
    </w:p>
    <w:p>
      <w:pPr>
        <w:pStyle w:val="TextBody"/>
        <w:bidi w:val="0"/>
        <w:spacing w:before="120" w:after="283"/>
        <w:jc w:val="left"/>
        <w:rPr>
          <w:rFonts w:ascii="Times New Roman" w:hAnsi="Times New Roman"/>
          <w:sz w:val="20"/>
        </w:rPr>
      </w:pPr>
      <w:r>
        <w:rPr>
          <w:rFonts w:ascii="Times New Roman" w:hAnsi="Times New Roman"/>
          <w:color w:val="000000"/>
          <w:sz w:val="20"/>
        </w:rPr>
        <w:t>We expect our research and development expenses to be significant as we advance our product candidates through clinical trials and pursue regulatory approval. The process of conducting the necessary clinical trials to obtain regulatory approval is costly and time-consuming. Clinical trials generally become larger and more costly to conduct as they advance into later stages and, in the future, we will be required to make estimates for expense accruals related to clinical trial expenses. At this time, we cannot reasonably estimate or know the nature, timing and estimated costs of the efforts that will be necessary to complete the development of our product candidates. See the section titled “</w:t>
      </w:r>
      <w:r>
        <w:rPr>
          <w:rFonts w:ascii="Times New Roman" w:hAnsi="Times New Roman"/>
          <w:i/>
          <w:color w:val="000000"/>
          <w:sz w:val="20"/>
        </w:rPr>
        <w:t>Risk Factors—Risks Related to Our Product Development, Regulatory Approval and Commercialization</w:t>
      </w:r>
      <w:r>
        <w:rPr>
          <w:rFonts w:ascii="Times New Roman" w:hAnsi="Times New Roman"/>
          <w:color w:val="000000"/>
          <w:sz w:val="20"/>
        </w:rPr>
        <w:t>” contained in the Annual Report and Part II, Item 1A Risk Factors of this Quarterly Report on Form 10-Q for more information regarding the risks associated with clinical development.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selling, general and administrative expenses on the accrual basis when incurred. These expenses mainly relate to consultant fees, employee costs, legal costs, marketing and communication, intellectual property costs and general overhead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general growth of the organization associated with administering ongoing and planned clinical trials and our focus on commercial preparedness, we expect that our selling, general and administrative expenses will increase. We may incur increased accounting, audit, legal, regulatory, compliance, director and officer insurance costs, as well as investor and public relations expenses associated with being a public company. Additionally, if and when a regulatory approval of a product candidate appears likely, we anticipate an increase in payroll and expenses as a result of our preparation for commercial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recognized using the effective interest rate method. Interest income for the three and six months ended June 30, 2026 and 2025 is related to interest earned on cash, cash equivalents, restricted cash and marketable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Foreign Exchange Gain/Loss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exchange gain/loss relates mainly to cash balances denominated in foreign currencies, but also to transactions denominated in foreign currencies. Our foreign currency exposure is mainly related to the Euro. As of June 30, 2026, our net exposure to foreign currency risk was $72.6 million, as compared to $95.6 million as of December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therefore have incurred de minimis amounts of corporate tax. We expect to continue incurring losses as we continue to invest in our clinical and preclinical development programs. Consequently, any deferred tax assets are fully offset by a valuation allowance on our balance sheet.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consolidated statements of operations for the periods indicated:</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3836"/>
        <w:gridCol w:w="146"/>
        <w:gridCol w:w="194"/>
        <w:gridCol w:w="978"/>
        <w:gridCol w:w="220"/>
        <w:gridCol w:w="194"/>
        <w:gridCol w:w="194"/>
        <w:gridCol w:w="978"/>
        <w:gridCol w:w="166"/>
        <w:gridCol w:w="146"/>
        <w:gridCol w:w="146"/>
        <w:gridCol w:w="736"/>
        <w:gridCol w:w="411"/>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26,892</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68,565</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 -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(64,135</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Explanatory Note to Aid Comparison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prior periods, including the three months ended June 30, 2025, costs related to medical affairs activities and personnel were classified within selling, general and administrative expenses. Due to changes in the nature of activities performed by our medical affairs function, certain such costs, including personnel costs, are classified in accordance with U.S. GAAP as research and development expenses in the three and six months ended June 30, 2026. Costs associated with our medical affairs function totaled $4.6 million in the three months ended June 30, 2025, of which $3.1 million were personnel costs, compared to total costs of $4.3 million in the three months ended June 30, 2026, of which $2.9 million were personnel costs.</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was $3.7 million for the three months ended June 30, 2026 compared to $19.1 million for the three months ended June 30, 2025, a decrease of $15.4 million, or 81%. This decrease is largely due to the recognition of $16.1 million of revenue in the comparative period related to the second installment of development cost contributions under the Menarini License, which did not recur in the current period.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$41.7 million for the three months ended June 30, 2026 compared to $27.5 million for the three months ended June 30, 2025, an increase of $14.2 million, or 52%.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$11.1 million increase in clinical expenses mainly due to the initiation of clinical trials and increased costs associated with the progression of ongoing trials, as well as credits received upon the close-out of trials in the comparative period that did not recur in the current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$3.3 million increase in personnel expenses related to research and development activities, including the impact of including medical affairs related personnel costs in the current period, as discussed above. The remainder of the change is primarily driven by increased recruitment and employment costs for individuals involved within the research and development activities to support the growth of the organization, together with an offsetting $2.5 million decrease related to a payroll tax relief grant received in the Netherlands;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$0.7 million increase in non-clinical expenses due to greater activity related to pipeline expansion and product lifecycle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$1.5 million decrease in manufacturing expenses primarily attributable to commercial manufacturing capability investments made in the comparative period, which did not recur in the current period.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62" w:type="dxa"/>
        <w:jc w:val="left"/>
        <w:tblInd w:w="0" w:type="dxa"/>
        <w:tblLayout w:type="fixed"/>
        <w:tblCellMar>
          <w:top w:w="28" w:type="dxa"/>
          <w:left w:w="28" w:type="dxa"/>
          <w:bottom w:w="28" w:type="dxa"/>
          <w:right w:w="28" w:type="dxa"/>
        </w:tblCellMar>
      </w:tblPr>
      <w:tblGrid>
        <w:gridCol w:w="3631"/>
        <w:gridCol w:w="146"/>
        <w:gridCol w:w="208"/>
        <w:gridCol w:w="964"/>
        <w:gridCol w:w="208"/>
        <w:gridCol w:w="208"/>
        <w:gridCol w:w="208"/>
        <w:gridCol w:w="964"/>
        <w:gridCol w:w="146"/>
        <w:gridCol w:w="146"/>
        <w:gridCol w:w="146"/>
        <w:gridCol w:w="676"/>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41,673</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were $26.9 million for the three months ended June 30, 2026 compared to $27.3 million for the three months ended June 30, 2025, a decrease of $0.4 million or 1%.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$3.0 million decrease in marketing and communication expenses. The decrease is primarily driven by the change in the nature of medical affairs related costs, as described above;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$0.5 million decrease in intellectual property expenses primarily driven by costs related to worldwide patent filings incurred in the comparative period, which did not recur in the current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$2.7 million increase in share-based compensation costs and increased recruitment and employment costs for individuals involved with administrative and commercial preparedness activities to support the growth of the organization and operation as a public company. These increases are partially offset by the reclassification of medical affairs costs, as discussed above.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$5.8 million for the three months ended June 30, 2026 compared to $7.1 million for the three months ended June 30, 2025, a decrease of $1.3 million or 18%. This decrease was largely driven by a decrease in the amount of cash, cash equivalents and marketable debt securities on which interest was earned.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Fair Value Change -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change - warrants was a loss of $4.6 million for the three months ended June 30, 2026 compared to a gain of $2.6 million for the three months ended June 30, 2025. Prior to 2026, the fair value of the Warrants was determined using the last reported trading price of the Public Warrants, which trade under the symbol “NAMSW.” Beginning in 2026, due to a decrease in the trading volume of the Public Warrants, the fair value of the Warrants is determined by utilizing the Black-Scholes option pricing model. The primary driver of the change in fair value of the Warrants derived by such pricing method is the change in the trading price of the Company's Ordinary Shares, which trade under the symbol “NAMS.”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Exchange Gains/(Losses)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foreign exchange gains/(losses) were a loss of $0.5 million for the three months ended June 30, 2026 compared to a gain of $8.6 million for the three months ended June 30, 2025. This change was largely driven by movements in the exchange rate for Euros which is our primary foreign currency exposure.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for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for the period was $64.1 million for the three months ended June 30, 2026 compared to $17.4 million for the three months ended June 30, 2025, an increase of $46.7 million. The individual components of the change are described above.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consolidated statements of operations for the periods indicated:</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164" w:type="dxa"/>
        <w:jc w:val="left"/>
        <w:tblInd w:w="0" w:type="dxa"/>
        <w:tblLayout w:type="fixed"/>
        <w:tblCellMar>
          <w:top w:w="28" w:type="dxa"/>
          <w:left w:w="28" w:type="dxa"/>
          <w:bottom w:w="28" w:type="dxa"/>
          <w:right w:w="28" w:type="dxa"/>
        </w:tblCellMar>
      </w:tblPr>
      <w:tblGrid>
        <w:gridCol w:w="3836"/>
        <w:gridCol w:w="146"/>
        <w:gridCol w:w="164"/>
        <w:gridCol w:w="949"/>
        <w:gridCol w:w="187"/>
        <w:gridCol w:w="164"/>
        <w:gridCol w:w="164"/>
        <w:gridCol w:w="949"/>
        <w:gridCol w:w="166"/>
        <w:gridCol w:w="146"/>
        <w:gridCol w:w="146"/>
        <w:gridCol w:w="736"/>
        <w:gridCol w:w="411"/>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130,025</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(123,284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 -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change -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(112,576</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Explanatory Note to Aid Comparison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prior periods, including the six months ended June 30, 2025, costs related to medical affairs activities and personnel were classified within selling, general and administrative expenses. Due to changes in the nature of activities performed by our medical affairs function, certain such costs, including personnel costs, are classified in accordance with U.S. GAAP as research and development expenses in the six months ended June 30, 2026. Costs associated with our medical affairs function totaled $9.7 million in the six months ended June 30, 2025, of which $6.1 million were personnel costs, compared to total costs of $8.8 million in the six months ended June 30, 2026, of which $6.1 million were personnel costs.</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$6.7 million for the six months ended June 30, 2026 compared to $22.1 million for the six months ended June 30, 2025, a decrease of $15.4 million, or 70%. This decrease was largely due to the recognition of $16.1 million of revenue related to the second installment of development cost contributions under the Menarini License in the comparative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$79.7 million for the six months ended June 30, 2026 compared to $72.3 million for the six months ended June 30, 2025, an increase of $7.4 million, or 10%. This was primarily driven by 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$2.7 million increase in clinical expenses mainly due to the initiation of clinical trials and increased costs associated with the progression of ongoing trials, partially offset by the completion of Phase 3 clinical trials in the first half of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$6.0 million increase in personnel expenses related to research and development activities, including the impact of including medical affairs related personnel costs in the current period, as discussed above. The remainder of the change is primarily driven by increased recruitment and employment costs for individuals involved within the research and development activities to support the growth of the organization, together with an offsetting $5.7 million decrease related to a payroll tax relief grant received in the Netherlands;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$2.1 million decrease in non-clinical expenses due to reduced activity in the first quarter related to pipeline expansion and product lifecycle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35" w:type="dxa"/>
        <w:jc w:val="left"/>
        <w:tblInd w:w="0" w:type="dxa"/>
        <w:tblLayout w:type="fixed"/>
        <w:tblCellMar>
          <w:top w:w="28" w:type="dxa"/>
          <w:left w:w="28" w:type="dxa"/>
          <w:bottom w:w="28" w:type="dxa"/>
          <w:right w:w="28" w:type="dxa"/>
        </w:tblCellMar>
      </w:tblPr>
      <w:tblGrid>
        <w:gridCol w:w="3631"/>
        <w:gridCol w:w="146"/>
        <w:gridCol w:w="194"/>
        <w:gridCol w:w="901"/>
        <w:gridCol w:w="194"/>
        <w:gridCol w:w="194"/>
        <w:gridCol w:w="194"/>
        <w:gridCol w:w="901"/>
        <w:gridCol w:w="146"/>
        <w:gridCol w:w="146"/>
        <w:gridCol w:w="146"/>
        <w:gridCol w:w="631"/>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79,682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were $50.3 million for the six months ended June 30, 2026 compared to $54.4 million for the six months ended June 30, 2025, a decrease of $4.1 million or 8%.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$6.7 million decrease in marketing and communication expenses. The decrease is primarily driven by the change in the nature of medical affairs related costs, as described above, together with a $1.4 million reduction driven by lower market research spending;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$1.2 million decrease in costs related to our intellectual property primarily driven by worldwide patent filings incurred in the comparative period, which did not recur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$0.9 million decrease in legal expenses primarily due to the transition of legal advisory services in-house;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$4.3 million increase in share-based compensation costs and increased recruitment and employment costs for individuals involved with administrative and commercial preparedness activities to support the growth of the organization and operation as a public company. These increases are partially offset by the reclassification of medical affairs costs, as discussed above.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$11.5 million for the six months ended June 30, 2026 compared to $14.4 million for the six months ended June 30, 2025, a decrease of $2.9 million or 20%. This decrease was largely driven by a decrease in the amount of cash, cash equivalents and marketable debt securities on which interest was earned.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Fair Value Change - Earnout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change - earnout was a nil for the six months ended June 30, 2026 compared to a gain of $4.0 million for the six months ended June 30, 2025. The earnout liability was settled in full in March 2025.</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Fair Value Change -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change - warrants was a gain of $1.4 million for the six months ended June 30, 2026 compared to a gain of $16.4 million for the six months ended June 30, 2025. Prior to 2026, the fair value of the Warrants was determined using the last reported trading price of the Public Warrants, which trade under the symbol “NAMSW.” Beginning in 2026, due to a decrease in the trading volume of the Public Warrants, the fair value of the Warrants is determined by utilizing the Black-Scholes option pricing model. The primary driver of the change in fair value of the Warrants derived by such pricing method is the change in the trading price of the Company's Ordinary Shares, which trade under the symbol “NAMS.”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Foreign Exchange Gains/(Losses)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foreign exchange gains/(losses) were a loss of $2.1 million for the six months ended June 30, 2026 compared to a gain of $12.9 million for the three months ended June 30, 2025. This change was largely driven by movements in the exchange rate for Euros which is our primary foreign currency exposure.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for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for the period was $112.6 million for the six months ended June 30, 2026 compared to $56.9 million for the six months ended June 30, 2025, an increase of $55.7 million. The individual components of the change are described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devoted substantially all of our resources to organizing and staffing our company, business planning, raising capital, undertaking preclinical studies and conducting clinical trials of obicetrapib. As a result, we are not yet profitable and have incurred losses in each annual period since our inception. As of June 30, 2026, we had an accumulated loss of $875.0 million. We expect to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primarily through private and public placements of shares, the sale of convertible notes, proceeds from the Menarini License and the proceeds from the closing of the transactions contemplated by the Business Combination Agreement. As of June 30, 2026, we had cash, cash equivalents and marketable securities of $678.3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Menarini License and Menarini Supply Agreement </w:t>
      </w:r>
    </w:p>
    <w:p>
      <w:pPr>
        <w:pStyle w:val="TextBody"/>
        <w:bidi w:val="0"/>
        <w:spacing w:before="120" w:after="283"/>
        <w:jc w:val="left"/>
        <w:rPr>
          <w:rFonts w:ascii="Times New Roman" w:hAnsi="Times New Roman"/>
          <w:sz w:val="20"/>
        </w:rPr>
      </w:pPr>
      <w:r>
        <w:rPr>
          <w:rFonts w:ascii="Times New Roman" w:hAnsi="Times New Roman"/>
          <w:color w:val="000000"/>
          <w:sz w:val="20"/>
        </w:rPr>
        <w:t>On June 23, 2022, we entered into the Menarini License, pursuant to which we granted Menarini an exclusive, royalty-bearing, sublicensable license under certain of our intellectual property and our regulatory documentation to undertake post approval development activities and commercialize the Licensed Products (as defined in the Menarini License), for any use in the Menarini Territory (as defined in the Menarini License). Pursuant to the Menarini License, Menarini made a non-refundable, non-creditable upfront payment to us of €115 million. Menarini has also committed to providing us €27.5 million in funding for the research and development activities related to the Licensed Products over two years, all of which has been received to date, together with bearing 50% of any development costs incurred in respect of the pediatric population in the Menarini Territory. We are also eligible to receive up to €863 million upon the achievement of various clinical, regulatory and commercial milestones, of which €30 million has been received to date. If obicetrapib is approved, and successfully commercialized by Menarini, we will be entitled to tiered royalties ranging from the low double-digits to the mid-twenties as a percentage of net sales in the Menarini Territory, with royalty step-downs in the event of generic entrance or in respect of required third-party intellectual property payments. See the section titled “</w:t>
      </w:r>
      <w:r>
        <w:rPr>
          <w:rFonts w:ascii="Times New Roman" w:hAnsi="Times New Roman"/>
          <w:i/>
          <w:color w:val="000000"/>
          <w:sz w:val="20"/>
        </w:rPr>
        <w:t>Business—Commercial</w:t>
      </w:r>
      <w:r>
        <w:rPr>
          <w:rFonts w:ascii="Times New Roman" w:hAnsi="Times New Roman"/>
          <w:color w:val="000000"/>
          <w:sz w:val="20"/>
        </w:rPr>
        <w:t>” contained in our Annual Report for a full description of the Menarini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have received a total of €30 million in milestone payments from Menarini, none of which was received in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2025, we entered into the Menarini Supply Agreement, pursuant to which we will supply Menarini with the Drug Products. We will initially be Menarini’s exclusive supplier of the Drug Products and fulfill purchase orders based on periodic volume forecasts that Menarini is required to provide, a portion of which will be binding. The price to be paid by Menarini will be based on a specified mark-up to our “cost of goods sold” for the supplied Drug Products (as determined in accordance with the supply agreement), subject to periodic adjustments.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December 2024 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13, 2024, we completed an underwritten public offering (the “December 2024 Offering”) of 14,667,347 Ordinary Shares at a public offering price of $24.50 per Ordinary Share and, in lieu of Ordinary Shares to certain investors, Pre-Funded Warrants to purchase 4,882,653 Ordinary Shares at a public offering price of $24.4999 per Pre-Funded Warrant, which represents the per share public offering price for the Ordinary Shares, less the $0.0001 per share exercise price for each such Pre-Funded Warrant. Of the 14,667,347 Ordinary Shares issued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sold in the December 2024 Offering, 2,550,000 Ordinary Shares were issued and sold pursuant to the exercise of the underwriters’ option to purchase additional Ordinary Shares at the public offering price per share. The net proceeds to the Company from the December 2024 Offering were $453.4 million after deducting underwriting discounts and commissions and offering expenses payable by the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February 2024 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16, 2024, we completed an underwritten public offering (the “February 2024 Offering”) of 5,871,909 Ordinary Shares at a public offering price of $19.00 per Ordinary Share and, in lieu of Ordinary Shares to certain investors, Pre-Funded Warrants to purchase 4,736,841 Ordinary Shares at a public offering price of $18.9999 per Pre-Funded Warrant, which represents the per share public offering price for the Ordinary Shares less the $0.0001 per share exercise price for each such Pre-Funded Warrant. Of the 5,871,909 Ordinary Shares issued and sold in the February 2024 Offering, 1,383,750 Ordinary Shares were issued and sold pursuant to the exercise of the underwriters’ option to purchase additional Ordinary Shares at the public offering price per share. The net proceeds to the Company from the February 2024 Offering were $190.0 million after deducting underwriting discounts and commissions and offering expenses payable by the Company.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9, 2024, we entered into an amended and restated sales agreement (the “Sales Agreement”) with Cowen and Company, LLC (“TD Cowen”), pursuant to which we may issue and sell from time to time up to $250 million of our Ordinary Shares through or to TD Cowen as our sales agent or acting as principal in any method deemed to be an “at the market offering.” TD Cowen will receive a commission of up to 3.0% of the gross proceeds of any Ordinary Shares sold pursuant to the Sales Agreement. During the six months ended June 30, 2026, we did not sell any Ordinary Shares pursuant to the Sales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2026, 69,371 Warrants were exercised at an exercise price of $11.50 per Ordinary Share generating gross proceeds of $0.8 million. As of June 30, 2026, we had another 2,420,733 outstanding Warrants to purchase 2,420,733 Ordinary Shares, exercisable at an exercise price of $11.50 per share, which expire on November 23, 2027, at 5:00 p.m., Eastern Standard Time. Based on the exercise price of the Warrants, we may receive up to $27.8 million assuming the exercise of all Warrants outstanding as of June 30, 2026. The exercise of the Warrants, and any proceeds we may receive from their exercise, are highly dependent on the price of our Ordinary Shares and the spread between the exercise price of the Warrant and the price of an Ordinary Share at the time of exercise. For example, to the extent that the trading price of the Ordinary Shares exceeds $11.50 per share, it is more likely that holders of our Warrants will exercise their Warrants. If the trading price of the Ordinary Shares is less than $11.50 per share, it is unlikely that such holders will exercise their Warrants. The exercise price of the Warrants has at times exceeded the market price of the Ordinary Shares. To the extent that the price of our Ordinary Shares is below $11.50, we believe that the Warrant holders will be unlikely to cash exercise their warrants, resulting in little to no cash proceeds to us. There can be no assurance that our Warrants will be in the money prior to their expiration and, as such, certain unexercised Warrants may expire worthless. As such, it is possible that we may never generate any additional cash proceeds from the exercise of our Warrants. We have not included, and do not intend to include, any potential cash proceeds from the exercise of our Warrants in our short-term or long-term liquidity projections. We will continue to evaluate the probability that the Warrants are exercised over the life of our Warrants and the merit of including potential cash proceeds from the exercise thereof in our liquidity projections.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is a summary of cash flows for the six months ended June 30, 2026 and 2025: </w:t>
      </w:r>
    </w:p>
    <w:tbl>
      <w:tblPr>
        <w:tblW w:w="8554" w:type="dxa"/>
        <w:jc w:val="left"/>
        <w:tblInd w:w="0" w:type="dxa"/>
        <w:tblLayout w:type="fixed"/>
        <w:tblCellMar>
          <w:top w:w="28" w:type="dxa"/>
          <w:left w:w="28" w:type="dxa"/>
          <w:bottom w:w="28" w:type="dxa"/>
          <w:right w:w="28" w:type="dxa"/>
        </w:tblCellMar>
      </w:tblPr>
      <w:tblGrid>
        <w:gridCol w:w="5971"/>
        <w:gridCol w:w="146"/>
        <w:gridCol w:w="146"/>
        <w:gridCol w:w="781"/>
        <w:gridCol w:w="166"/>
        <w:gridCol w:w="146"/>
        <w:gridCol w:w="146"/>
        <w:gridCol w:w="841"/>
        <w:gridCol w:w="2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of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563,864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Net Cash Flows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flows used in operating activities was $69.8 million in the six months ended June 30, 2026 compared to $74.1 million in the six months ended June 30, 2025, a decrease of $4.3 million. This change was primarily driven by favorable working capital changes, including a decrease in prepayments and other receivables and an increase in accounts payable, partially offset by an increase in operating expenses for the period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flows used in investing activities was $16.3 million in the six months ended June 30, 2026 compared to $156.3 million in the six months ended June 30, 2025, a change of $140.0 million. The change is primarily attributable to the purchases and maturities of marketable securities.</w:t>
      </w:r>
    </w:p>
    <w:p>
      <w:pPr>
        <w:pStyle w:val="TextBody"/>
        <w:bidi w:val="0"/>
        <w:spacing w:before="240" w:after="283"/>
        <w:jc w:val="left"/>
        <w:rPr>
          <w:rFonts w:ascii="Times New Roman" w:hAnsi="Times New Roman"/>
          <w:sz w:val="20"/>
        </w:rPr>
      </w:pPr>
      <w:r>
        <w:rPr>
          <w:rFonts w:ascii="Times New Roman" w:hAnsi="Times New Roman"/>
          <w:i/>
          <w:color w:val="000000"/>
          <w:sz w:val="20"/>
        </w:rPr>
        <w:t>Net Cash Flows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flows provided by financing activities was $22.1 million in the six months ended June 30, 2026 compared to $9.9 million in the six months ended June 30, 2025, an increase of $12.2 million. The increase primarily reflects an increase in proceeds received upon the exercise of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Capital and Capital Expenditure Requirements</w:t>
      </w:r>
    </w:p>
    <w:p>
      <w:pPr>
        <w:pStyle w:val="TextBody"/>
        <w:bidi w:val="0"/>
        <w:spacing w:before="120" w:after="283"/>
        <w:jc w:val="left"/>
        <w:rPr>
          <w:rFonts w:ascii="Times New Roman" w:hAnsi="Times New Roman"/>
          <w:sz w:val="20"/>
        </w:rPr>
      </w:pPr>
      <w:r>
        <w:rPr>
          <w:rFonts w:ascii="Times New Roman" w:hAnsi="Times New Roman"/>
          <w:i/>
          <w:color w:val="000000"/>
          <w:sz w:val="20"/>
        </w:rPr>
        <w:t>Third-Party Service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variety of agreements and financial commitments in the normal course of business with CROs, CMOs, and other third parties for preclinical and clinical development and manufacturing services. The terms generally provide us with the option to cancel, reschedule and adjust our requirements based on our business needs, prior to the delivery of goods or performance of services. Payments due upon cancellation generally consist only of payments for services provided or expenses incurred, including non-cancelable obligations of our service providers, up to the date of cancellation. However, some of our service providers also charge cancellation fees upon cancellation. The amount and timing of such payments are not known, but at June 30, 2026 they are estimated to be a maximum of $50.6 million due within one year and $11.4 million due in more than a year. As at June 30, 2026, we had cash, cash equivalents and marketable securities of $678.3 million which is sufficient to fund these obligations.</w:t>
      </w:r>
    </w:p>
    <w:p>
      <w:pPr>
        <w:pStyle w:val="TextBody"/>
        <w:bidi w:val="0"/>
        <w:spacing w:before="240" w:after="283"/>
        <w:jc w:val="left"/>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a services agreement (the "Naarden Lease") pursuant to which an affiliate of Forbion leased us office space, and an office lease agreement with Weston Common Area LLC, dated April 16, 2026, (the “Weston Lease”). Under the Naarden Lease, we are obligated to pay €40 thousand per year in rent. The Naarden Lease will continue until terminated by either us or the landlord. Pursuant to the Weston Lease, we are required to pay annual rent ranging from $31 thousand to $34 thousand, increasing from the low end of the range to the higher end of the range for each year of the lease. The Weston Lease will expire by its terms on April 30, 2029, unless terminated earlier by either party pursuant to the terms of the Weston Lease. </w:t>
      </w:r>
    </w:p>
    <w:p>
      <w:pPr>
        <w:pStyle w:val="TextBody"/>
        <w:bidi w:val="0"/>
        <w:spacing w:before="240" w:after="283"/>
        <w:jc w:val="left"/>
        <w:rPr>
          <w:rFonts w:ascii="Times New Roman" w:hAnsi="Times New Roman"/>
          <w:sz w:val="20"/>
        </w:rPr>
      </w:pPr>
      <w:r>
        <w:rPr>
          <w:rFonts w:ascii="Times New Roman" w:hAnsi="Times New Roman"/>
          <w:i/>
          <w:color w:val="000000"/>
          <w:sz w:val="20"/>
        </w:rPr>
        <w:t>Menarini License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We will be responsible for the development and commercialization costs related to Licensed Products (as defined in the Menarini License) other than those in the Menarini Territory (as defined in the Menarini License). In addition, under specified conditions of the agreement, we agreed to bear 50% of certain development costs incurred by the other party in the development of the Licensed Products in the Menarini Territory. See the section entitled “</w:t>
      </w:r>
      <w:r>
        <w:rPr>
          <w:rFonts w:ascii="Times New Roman" w:hAnsi="Times New Roman"/>
          <w:i/>
          <w:color w:val="000000"/>
          <w:sz w:val="20"/>
        </w:rPr>
        <w:t>Business—Marketing and Sales</w:t>
      </w:r>
      <w:r>
        <w:rPr>
          <w:rFonts w:ascii="Times New Roman" w:hAnsi="Times New Roman"/>
          <w:color w:val="000000"/>
          <w:sz w:val="20"/>
        </w:rPr>
        <w:t>” contained in the Annual Report on Form 10-K for a description of the Menarini License.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consolidated financial statements in conformity with U.S. GAAP requires management to make estimates and assumptions that affect the reported amounts of assets and liabilities at the date of the consolidated financial statements and the reported amounts of revenue and expenses during the reporting period. We based our estimates on historical experience, known trends and other market-specific or other relevant factors that we believe to be reasonable under the circumstances. On an ongoing basis, management evaluates its estimates when there are changes in circumstances, facts and experience. Changes in estimates are recorded in the period in which they become known. If actual results differ from our estimates, or to the extent these estimates are adjusted in future periods, our results of operations could either benefit from, or be adversely affected by, any such change in estimate.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consolidated financial statements in the Annual Report on Form 10-K and Note 2 to our condensed consolidated financial statements included in Part I, Item 1 of this Quarterly Report for a summary of significant accounting policies and the effect on our consolidated financial statements.</w:t>
      </w:r>
    </w:p>
    <w:p>
      <w:pPr>
        <w:pStyle w:val="TextBody"/>
        <w:bidi w:val="0"/>
        <w:spacing w:before="36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financial liabilities consist of trade and other payables, lease liabilities and derivative warrant liabilities. The main purpose of these financial liabilities is to finance our day-to-day operations. Our financial assets consist of prepayments and other receivables and cash, that are derived from our operating activities and funding.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credit risk and liquidity risk. Our senior management oversees the management of these risks. Our Board of Directors (the “Board of Directors”) reviews and approves policies for managing each of these risks, which are summarized below. </w:t>
      </w:r>
    </w:p>
    <w:p>
      <w:pPr>
        <w:pStyle w:val="TextBody"/>
        <w:bidi w:val="0"/>
        <w:spacing w:before="240" w:after="283"/>
        <w:jc w:val="left"/>
        <w:rPr>
          <w:rFonts w:ascii="Times New Roman" w:hAnsi="Times New Roman"/>
          <w:sz w:val="20"/>
        </w:rPr>
      </w:pPr>
      <w:r>
        <w:rPr>
          <w:rFonts w:ascii="Times New Roman" w:hAnsi="Times New Roman"/>
          <w:i/>
          <w:color w:val="000000"/>
          <w:sz w:val="20"/>
        </w:rPr>
        <w:t>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risk is the risk that the fair value or future cash flows of a financial instrument will fluctuate because of changes in market prices. Market risk comprises interest rate risk, foreign currency risk and other price risks.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primarily through our cash, cash equivalents and marketable securities. Changes in interest rates may cause variations in interest income and expense resulting from short-term interest-bearing assets. We invest in high-quality financial instruments, primarily money market funds and U.S. government and agency securities with maturities of less than one year, which we believe are subject to limited credit risk. We regularly review our investments and monitor the financial markets and we do not currently hedge interest rate exposure. Due to the nature of our investments, we do not believe an immediate 100 basis point change in interest rates would have a material effect on our financial condition. We do not believe that we have any material exposure to interest rate risk or changes in credit ratings arising from our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risk is the risk that the fair value or future cash flows of a financial instrument will fluctuate because of changes in foreign exchange rates. Our exposure to the risk of changes in foreign exchange rates relates primarily to cash and trade and other payables denominated in currencies other than our functional currency, the U.S. Dollar. As of June 30, 2026, our net exposure to foreign currency risk was $72.6 million, mainly related to the Euro. As of June 30, 2026, the effect of a hypothetical 1% change in exchange rates on currencies denominated in other than our functional currency would result in a potential change in future earnings in our consolidated statement of operations of approximately $0.7 million.</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partly manage our foreign currency risk by selectively holding foreign currency in our cash to offset foreign currency exposures from trade and other payables. We plan to use this cash to settle future expenses we expect to incur in those foreign currencies. </w:t>
      </w:r>
    </w:p>
    <w:p>
      <w:pPr>
        <w:pStyle w:val="TextBody"/>
        <w:bidi w:val="0"/>
        <w:spacing w:before="240" w:after="283"/>
        <w:jc w:val="left"/>
        <w:rPr>
          <w:rFonts w:ascii="Times New Roman" w:hAnsi="Times New Roman"/>
          <w:sz w:val="20"/>
        </w:rPr>
      </w:pPr>
      <w:r>
        <w:rPr>
          <w:rFonts w:ascii="Times New Roman" w:hAnsi="Times New Roman"/>
          <w:i/>
          <w:color w:val="000000"/>
          <w:sz w:val="20"/>
        </w:rPr>
        <w:t>Other Market Price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Business Combination, we have derivative warrant liabilities, which are measured at fair value through profit or loss. As of June 30, 2026 the fair value of the derivative warrant liabilities totaled $54.5 million. Prior to 2026, the fair value of the Warrants was determined using the last reported trading price of the Public Warrants which trade under the symbol “NAMSW.” Beginning in 2026, due to a decrease in the trading volume of the Public Warrants, the fair value of the Warrants is determined by utilizing the Black-Scholes option pricing model. The primary driver of the change in fair value of the Warrants derived by such pricing method is the change in the trading price of our Ordinary Shares which trade under the symbol “NAMS.” The value of the derivative warrant liability is directly correlated to the market price of our Ordinary Shares. With all other variables held constant, a 1% change in the market price of our Ordinary Shares would change the value of the derivative warrant liability by approximately 1% or $0.5 million.</w:t>
      </w:r>
    </w:p>
    <w:p>
      <w:pPr>
        <w:pStyle w:val="TextBody"/>
        <w:bidi w:val="0"/>
        <w:spacing w:before="240" w:after="283"/>
        <w:jc w:val="left"/>
        <w:rPr>
          <w:rFonts w:ascii="Times New Roman" w:hAnsi="Times New Roman"/>
          <w:sz w:val="20"/>
        </w:rPr>
      </w:pPr>
      <w:r>
        <w:rPr>
          <w:rFonts w:ascii="Times New Roman" w:hAnsi="Times New Roman"/>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 risk is the risk that a counterparty will not meet its obligations under a financial instrument or customer contract, leading to a financial loss. We are exposed to credit risk primarily from our treasury activities, including deposits with banks and financial institutions and have limited credit risk exposure from our operating activities. We hold available cash in bank accounts with banks which have investment grade credit ratings. Management periodically reviews the creditworthiness of the banks with which it holds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perform research and development activities and do not yet have significant sales. We are able to reclaim VAT, which is recoverable from tax authorities. Management periodically reviews the recoverability of the balance of input value added tax and believes it is fully recoverable.</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disclosure controls and procedures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our principal executive officer (our Chief Executive Officer) and principal financial officer (our Chief Financial Officer),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Chief Financial Officer, has evaluated the effectiveness of our disclosure controls and procedures (as defined in Rules 13a-15(e) and 15d-15(e) under the Exchange Act) as of the end of the period covered by this Quarterly Report. Management recognizes that any disclosure controls and procedures, no matter how well designed and operated, can provide only reasonable assurance of achieving their objectives. Based on such evaluation, our Chief Executive Officer and Chief Financial Officer concluded that our disclosure controls and procedures were effective at the reasonable assurance level as of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pStyle w:val="TextBody"/>
        <w:bidi w:val="0"/>
        <w:spacing w:before="240" w:after="283"/>
        <w:jc w:val="left"/>
        <w:rPr>
          <w:rFonts w:ascii="Times New Roman" w:hAnsi="Times New Roman"/>
          <w:sz w:val="20"/>
        </w:rPr>
      </w:pPr>
      <w:r>
        <w:rPr>
          <w:rFonts w:ascii="Times New Roman" w:hAnsi="Times New Roman"/>
          <w:b/>
          <w:color w:val="000000"/>
          <w:sz w:val="20"/>
        </w:rPr>
        <w:t>Limitations on the Effectiveness of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controls may become inadequate because of changes in conditions, or that the degree of compliance with the policies or procedures may deteriorate.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3" w:name="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legal_proceedings"/>
      <w:bookmarkEnd w:id="14"/>
      <w:r>
        <w:rPr>
          <w:rFonts w:ascii="Times New Roman" w:hAnsi="Times New Roman"/>
          <w:b/>
          <w:color w:val="000000"/>
          <w:sz w:val="20"/>
        </w:rPr>
        <w:t>Item 1. Legal Proceedings.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are not party to any material pending legal proceedings. From time to time, we may be involved in legal proceedings arising in the ordinary course of business.</w:t>
      </w:r>
    </w:p>
    <w:p>
      <w:pPr>
        <w:pStyle w:val="TextBody"/>
        <w:bidi w:val="0"/>
        <w:jc w:val="left"/>
        <w:rPr/>
      </w:pPr>
      <w:r>
        <w:rPr/>
        <w:t> </w:t>
      </w:r>
    </w:p>
    <w:p>
      <w:pPr>
        <w:pStyle w:val="TextBody"/>
        <w:bidi w:val="0"/>
        <w:jc w:val="left"/>
        <w:rPr>
          <w:rFonts w:ascii="Times New Roman" w:hAnsi="Times New Roman"/>
          <w:sz w:val="20"/>
        </w:rPr>
      </w:pPr>
      <w:bookmarkStart w:id="15" w:name="risk_factors"/>
      <w:bookmarkEnd w:id="15"/>
      <w:r>
        <w:rPr>
          <w:rFonts w:ascii="Times New Roman" w:hAnsi="Times New Roman"/>
          <w:b/>
          <w:i/>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Except as set forth below, there have been no material changes to the risk factors previously disclosed in Part I, "Item 1A. Risk Factors" of our Annual Report on Form 10-K for the year ended December 31, 2025, filed with the SEC on February 18, 2026.</w:t>
      </w:r>
    </w:p>
    <w:p>
      <w:pPr>
        <w:pStyle w:val="TextBody"/>
        <w:bidi w:val="0"/>
        <w:spacing w:before="120" w:after="160"/>
        <w:jc w:val="left"/>
        <w:rPr/>
      </w:pPr>
      <w:r>
        <w:rPr>
          <w:color w:val="000000"/>
        </w:rPr>
        <w:t>“</w:t>
      </w:r>
      <w:r>
        <w:rPr>
          <w:rFonts w:ascii="Times New Roman" w:hAnsi="Times New Roman"/>
          <w:b/>
          <w:i/>
          <w:color w:val="000000"/>
          <w:sz w:val="20"/>
        </w:rPr>
        <w:t>Topline” and preliminary data or observed trends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From time to time, we have disclosed and in the future may publicly disclose preliminary or “topline” data or observed trends from our clinical trials, which are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Additionally, trends that we observe at one point in a study or trial may not exist at the time of a later analysis or at the conclusion of a study or trial. “Topline” data also remain subject to audit and verification procedures that may result in the final data being materially different from the data we previously published. As a result, preliminary or “topline” data or trends should be viewed with caution until the final data and analyses are available.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instance, we have conducted a preliminary review of blinded two-year data from our PREVAIL CVOT trial and have observed certain trends, including a Year 1 MACE event rate that is consistent with the event rate observed in BROADWAY and a greater than expected Year 1-to-Year 2 decline in MACE events, that have led us to prepare to conduct an interim analysis in that trial. However, the blinded PREVAIL data available to us is preliminary and subject to change as additional MACE events continue to be identified and adjudicated (including with respect to the Year 1-to-Year 2 period). Additionally, the Year 1 and Year 1-to-Year 2 MACE event trends observed to date may not be indicative of future trends. Our review of additional blinded data from PREVAIL as it becomes available could negatively impact our assessment of the potential benefits of conducting the interim analysis. Additionally, while we are currently observing a Year 1 MACE event rate in PREVAIL that is consistent with the event rate observed in BROADWAY, and a greater than expected Year 1 to Year 2 decline in MACE events, these trends are based on blinded data and may not be driven by a treatment effect of the obicetrapib treatment arm. For example, the MACE event rates in the placebo arm may be less than we expect due to continued advances in the standard of care for this patient population, heightened medical care and better risk factor management in trial participants or other currently unanticipated or unknown factors.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Further, others, including regulatory authorities and collaboration or regional partners, may not accept or agree with our assumptions, estimates, calculations, conclusions or analyses or may interpret or weigh the importance of data differently, which could impact the value of our particular program, the approvability or commercialization of obicetrapib or any future product candidate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the “topline” or preliminary data or observed trends that we report differ from actual results, or if others, including regulatory authorities, disagree with the conclusions reached, our ability to obtain approval for, and commercialize, obicetrapib may be harmed, which could significantly harm our business, financial condition, results of operations and prospects.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Interim data or results of interim analyses from our clinical trials that we announce or publish from time to time may not meet pre-specified criteria or endpoints to support continuation of our clinical trials and may change as additional patient data become available.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disclosed and in the future may disclose interim data or results of interim analyses from our clinical trials. There is a risk that any interim data or the results of interim analyses we disclose in the future may not meet pre-specified criteria or endpoints to support continuation of the clinical trial. Interim data and analyses from clinical trials that we may complete are also subject to the risk that one or more of the clinical outcomes may materially change as patient enrollment continues and more patient data become available or as patients from our clinical trials continue other treatments for their disease. Adverse differences between interim data and final data could significantly harm our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business prospects. Further, disclosure of interim data or results of interim analyses by us or by our competitors could result in volatility in the price of our Ordinary Shares.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example, we expect to conduct an interim analysis of our Phase 3 PREVAIL CVOT in the fourth quarter of 2026. The interim analysis will be conducted by the DSMB for the trial and will remain blinded to us. Based on certain pre-specified criteria that we have set, as well as other considerations for which the DSMB has discretion, the DSMB may recommend that the trial be stopped early for efficacy or for futility or that the trial continue until the full target number of MACE events has occurred. The interim analysis will be based on a lower number of total MACE events than the trial protocol for PREVAIL contemplates being available at the conclusion of the trial and may, as a result, fail to detect a statistically significant treatment benefit of obicetrapib, if one exists. If, as a result of the interim analysis, the DSMB recommends that PREVAIL is discontinued for futility, our business prospects may be substantially harmed. If the trial is not stopped early for efficacy or futility, we expect to complete the trial by the end of 2027. Any material difference between the final data and any interim data or results of analyses we disclose could materially negatively impact our likelihood of receiving regulatory approval or, along with any other delays in our ability to file for marketing approval, could require significant additional time and expenditure.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the interim data or results of interim analyses that we report do not support continuation of our clinical trials or differ from final results, our ability to obtain approval for, and commercialize, obicetrapib may be harmed, which could significantly harm our business, financial condition, results of operations and prospects.</w:t>
      </w:r>
    </w:p>
    <w:p>
      <w:pPr>
        <w:pStyle w:val="TextBody"/>
        <w:bidi w:val="0"/>
        <w:spacing w:before="0" w:after="160"/>
        <w:jc w:val="left"/>
        <w:rPr>
          <w:rFonts w:ascii="Times New Roman" w:hAnsi="Times New Roman"/>
          <w:sz w:val="20"/>
        </w:rPr>
      </w:pPr>
      <w:r>
        <w:rPr>
          <w:rFonts w:ascii="Times New Roman" w:hAnsi="Times New Roman"/>
          <w:b/>
          <w:i/>
          <w:color w:val="000000"/>
          <w:sz w:val="20"/>
        </w:rPr>
        <w:t>Current and future legislation and executive actions affecting the healthcare industry, including healthcare reform, may impact our business generally and may increase limitations on reimbursement, rebates and other payments, which could adversely affect third-party coverage of our products, our operations and/or how much or under what circumstances healthcare providers will prescribe or administer obicetrapib, if approved.</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United States and some foreign jurisdictions are considering or have enacted a number of legislative and regulatory proposals to change the healthcare system in ways that could affect our ability to sell obicetrapib or any other commercialized product profitably. Among policy makers and payors in the United States and elsewhere, there is significant interest in containing healthcare costs, improving quality and expanding access. In the United States, the pharmaceutical industry has been a particular focus of these efforts and has been significantly affected by major federal and state legislative initiatives and executive actions.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example, the IRA sets forth meaningful changes to drug product reimbursement by Medicare. The IRA, among other things, (i) directs HHS to negotiate the price of certain high-expenditure, single-source drugs and biologics covered under Medicare, and subjects drug manufacturers to civil monetary penalties and a potential excise tax for offering a price that is not equal to or less than the negotiated “maximum fair price” under the law, and (ii) imposes rebates under Medicare Part B and Medicare Part D to penalize price increases that outpace inflation. Specifically, with respect to price negotiations, Congress authorized Medicare to negotiate lower prices for certain single-source drug and biologic products that do not have competing generics or biosimilars and are reimbursed under Medicare Part B and Part D (the "Negotiation Program"). Starting in 2029 and for all subsequent years, CMS may negotiate prices for 20 high-cost drugs paid for by Medicare Part B or Part D. The Negotiation Program applies to drug products that have been approved for at least 7 years at the time of selection and biologics that have been licensed for 11 years at the time of selection. Nonetheless, because CMS may establish a "maximum fair price" for certain products in price negotiations, we may be exposed to government action if our product candidates, if approved, become the subject of Medicare price negotiations. Moreover, these provisions of the IRA may further heighten the risk that, if our product candidates are approved, we would not be able to achieve the expected return on such product candidates or realize the full value of the patents protecting them, including if prices are set after such product candidates have been on the market for seven years.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IRA permits HHS to engage in price-capped negotiation to set the price of certain drugs and biologics reimbursed under Medicare Part B and Part D. The IRA contains statutory exclusions to the Negotiation Program, including for certain orphan-designated drugs for which the only approved indication (or indications) is for the orphan disease or condition. Should our product candidates be approved and covered by Medicare Part B or Part D and fail to fall within a statutory exclusion, such as that for orphan drugs, those products could, after a period of time, be selected for negotiation and become subject to prices representing a significant discount from average prices to wholesalers and direct purchasers. The IRA also establishes a rebate obligation for drug manufacturers that increase prices of Medicare Part B and Part D covered drugs at a rate greater than the rate of inflation. The IRA may require us to pay rebates if we increase the cost of a covered Medicare Part B or Part D approved product faster than the rate of inflation. In addition, the law eliminates the coverage gap or “donut hole” under Medicare Part D beginning in 2025, significantly lowers the beneficiary maximum out-of-pocket cost, and requires manufacturers to subsidize, through a newly established manufacturer discount program, 10% of Part D enrollees’ prescription costs for brand drugs below the out-of-pocket maximum and 20% once the out-of-pocket maximum has been reached. Our cost-sharing responsibility for any approved product covered by Medicare Part D could be significantly greater under the newly redesigned Part D benefit structure compared to the pre-IRA benefit design. Additionally, manufacturers that fail to comply with certain provisions of the IRA may be subject to penalties, including civil monetary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penalties. The IRA is anticipated to have significant effects on the pharmaceutical industry and may reduce the prices we can charge and reimbursement we can receive for our products, among other effects.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One Big Beautiful Bill Act of 2025 (“OBBBA”) also included significant reforms to Medicaid, including an estimated $1 trillion in reduced federal Medicaid spending from 2025 through 2034 and the imposition of work requirements for certain enrollees. These changes are expected to reduce overall Medicaid enrollment and to reduce the services covered by Medicaid, which could adversely affect the sales of any product candidates that we commercialize.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as a result of the Budget Control Act of 2011, providers are subject to Medicare payment reductions of 2% per fiscal year, which went into effect on April 1, 2013. This 2% reduction was temporarily suspended during the COVID-19 pandemic, but has since been reinstated and, unless Congress and/or the Executive Branch take additional action, will begin to increase gradually starting in April 2030, reaching 4% in April 2031, until sequestration ends in October 2031.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has issued executive orders relating to prescription drug pricing and sent letters to pharmaceutical manufacturers that direct drug manufacturers to, among other things, offer most favored nation (“MFN”) pricing in Medicaid, offer MFN pricing for all newly launched drugs, repatriate increased revenue from abroad to lower drug prices in the United States and implement direct-to-consumer and direct-to-business distribution of their products at MFN pricing. The Trump Administration has warned that manufacturers that fail to make “significant progress” toward MFN pricing will face enumerated regulatory and enforcement consequences. In September 2025, the Administration began announcing deals with specific manufacturers to address the Administration’s MFN goals.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Administration has also developed three payment models that would test MFN pricing in Medicaid, Medicare Part D, and Medicare Part B. Participation in the Medicaid model, announced in November 2025, is voluntary for pharmaceutical manufacturers. Under the proposed rules for the Medicare Part D and Medicare Part B models published in December 2025, participation would be mandatory, and pharmaceutical manufacturers would be required to pay MFN-based rebates on eligible products for 25% of eligible Medicare beneficiaries during the applicable testing period. If these Medicare models are finalized and we obtain regulatory approval and commence commercialization of obicetrapib or any of our future product candidates during the testing period, and these products qualify for inclusion under the models, we may be required to pay MFN-based rebates in these models.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Moreover, pursuant to the Menarini License, Menarini is responsible for the commercialization and local development of obicetrapib in certain areas of Europe, if approved. In August 2025, the European Medicines Agency (the “EMA”) accepted for review the Marketing Authorization Applications (“MAAs”) submitted by Menarini for obicetrapib 10 mg monotherapy and the FDC of 10 mg obicetrapib plus 10 mg ezetimibe for the treatment of primary hypercholesterolemia, including heterozygous familial and non-familial or mixed dyslipidemia. Subsequently, MAAs were also submitted to regulators in the United Kingdom (“UK”) and Switzerland and accepted for review. We anticipate that Menarini will receive decisions on the MAAs from each of the regulators in the second half of 2026. Pursuant to the Menarini License, Menarini has sole discretion to set the price of the products in the European markets covered by its license. The price for prescription drug products in European and other non-U.S. markets is generally less, and in many cases significantly less, than the pricing for the same products sold in the United States. We expect the price of obicetrapib, if approved, in the European markets in which MAAs are currently under review by regulators, as well as the other European markets covered by the Menarini license, will be lower, and in most cases significantly lower, than the expected price for obicetrapib, if approved, in the United States. Since prices in the European markets in which Menarini has sole discretion to set the price of obicetrapib may serve as benchmarks for any mandatory MFN pricing models, if adopted, we may be unable to control the MFN price that must be made available under the announced payment models, if adopted, or in any future efforts to adopt MFN pricing. As a result, these payment models and other efforts to impose MFN pricing could have a material adverse effect on our business, financial condition or results of operations, including the net sales potential of obicetrapib, if approved.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Further, on November 30, 2020, HHS, finalized a regulation removing safe harbor protection for price reductions from pharmaceutical manufacturers to plan sponsors under Part D, either directly or through pharmacy benefit managers, unless the price reduction is required by law. The IRA delayed the implementation of the rule to January 1, 2032. The rule also creates a new safe harbor for price reductions reflected at the point-of-sale, as well as a new safe harbor for certain fixed fee arrangements between pharmacy benefit managers and manufacturers; the implementation of these provisions has also been delayed by the IRA until January 1, 2032.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If we obtain regulatory approval and commence commercialization of obicetrapib or any of our future product candidates, these laws and regulatory requirements could have an adverse effect on the market opportunities for obicetrapib or any of our future product candidates and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additional executive actions will be taken, or whether the FDA regulations, guidance or interpretations will be changed, or what the impact of such changes on the marketing approvals of obicetrapib or our future product candidates may be.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Although we cannot predict the full effect on our business of the implementation of existing legislation and regulations or the adoption of additional legislation or further regulatory requirements pursuant to healthcare and other legislative reform, we believe that legislation or regulations that would reduce reimbursement for, or restrict coverage of, obicetrapib, if approved, or any of our future products could adversely affect how much or under what circumstances healthcare providers will prescribe or administer our products. This could adversely affect our business by reducing our ability to generate revenues, raise capital, obtain licenses and market our products. In addition, we believe the increasing emphasis on managed care in the United States has and will continue to put pressure on the price and usage of pharmaceutical products, which may adversely impact product sales.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December 2025, the European Parliament and the Council of the European Union reached a provisional agreement on legislation to amend the current EU pharmaceutical regulatory framework. The text of the new legislation is due to be released in late 2026 following formal adoption by both the Parliament and Council. The potential reforms include altering the periods of regulatory and/or marketing protections available for innovative products and also making some of these protections conditional on fulfilling certain criteria. Depending on the final wording of these reforms, a reduction in the potential period of marketing protection available for obicetrapib or any of our future product candidates may adversely affect the commercial viability of such products in the EU. These changes could adversely affect our business by reducing our protection against generic competitors entering the EU market. Depending on the progress of the EU Parliament and Council to finalize the text of the legislation, changes to EU pharmaceutical legislation are not expected to come into force until early 2027 and additional transitional periods mean that most changes will most likely not take effect until early 2029.</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Changes in U.S. government policies, including increased tariffs, could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Significant political, trade, or regulatory developments in the jurisdictions in which we may sell our product,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policy actions by the Administration, including the imposition of new tariffs on imported materials and goods from certain non-U.S. countries, may have an adverse impact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Recently, trade and tariff policies among the United States and other countries have been unsettled and are subject to frequent changes. In April 2025, the Administration imposed a baseline ten percent tariff on imports from all nations importing goods to the United States, with that baseline supplemented in certain cases by additional tariffs that vary by nation, product or industry. In February 2026, the U.S. Supreme Court ruled against the Administration’s use of tariffs under the International Emergency Economic Powers Act, but the Administration imposed a new worldwide tariff under other legal authority, effective for 150 days from February 24, 2026. While the baseline tariff has been temporarily reduced, the underlying trade tensions and the potential reimposition of elevated tariffs may continue to pose risks to global supply chains and economic relations. The Bureau of Industry and Security, U.S. Department of Commerce, has initiated an investigation to determine whether pharmaceutical ingredients, including finished drug products, manufactured outside the United States pose a national security risk and should be subject to additional tariffs. The imposition of tariffs generally has historically led to increased trade and political tensions between the United States and other countries in the international community. Retaliatory tariffs on U.S. goods have been imposed by, among others, China and Canada.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could have a material adverse effect on our financial condition or results of operations. In addition, increased tariffs on critical raw materials, components, and finished goods could raise our production costs and disrupt our supply chain, which could adversely affect our clinical development activities. The actual impact of the new tariffs on our business is subject to a number of factors including, but not limited to, restrictions on trade, the effective date and duration of such tariffs, countries included in the scope of tariffs, changes to amounts of tariffs,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potential retaliatory tariffs imposed by other countries, and the extent to which tariffs are imposed on finished or unfinished pharmaceutical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these or similar policy changes continue or expand, we may face increased costs. Although we cannot predict the full extent of these impacts, any prolonged disruption could adversely affect our business, financial condition, and results of operations.</w:t>
      </w:r>
    </w:p>
    <w:p>
      <w:pPr>
        <w:pStyle w:val="TextBody"/>
        <w:bidi w:val="0"/>
        <w:spacing w:before="0" w:after="160"/>
        <w:jc w:val="left"/>
        <w:rPr>
          <w:rFonts w:ascii="Times New Roman" w:hAnsi="Times New Roman"/>
          <w:sz w:val="20"/>
        </w:rPr>
      </w:pPr>
      <w:r>
        <w:rPr>
          <w:rFonts w:ascii="Times New Roman" w:hAnsi="Times New Roman"/>
          <w:b/>
          <w:i/>
          <w:color w:val="000000"/>
          <w:sz w:val="20"/>
        </w:rPr>
        <w:t>Marketing and reimbursement regulations may materially affect our ability to market and receive coverage for our products in foreign jurisdictions.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intend to seek approval to market our current and future product candidates in the United States, the EU and selected other foreign jurisdictions. If we obtain approval in one or more foreign jurisdictions for our product candidates, we will be subject to rules and regulations in those jurisdictions. In some countries, particularly certain EU member states,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the EU, the requirements governing drug pricing and reimbursement vary widely between EU member states. Some EU member states provide that products may be marketed only after a reimbursement price has been agreed. Some EU member states may require the completion of additional studies that compare the cost effectiveness of a particular product candidate to currently available therapies (so called health technology assessments) in order to obtain reimbursement or pricing approval. Moreover, at the national level, EU member states may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required on pharmaceuticals and these efforts could continue as EU member states attempt to manage healthcare expenditures, especially in light of the severe fiscal and debt crises experienced by many countries in the EU. The downward pressure on health care costs in general, particularly prescription products, has become significant. This is likely to increase as a result of the EU Health Technology Assessment Regulation (EU) 2021/2282. This legislation will apply to all new active substances approved via the EU centralized procedure from 2030. It already applies for new active substance oncology products and advanced therapy medicinal products, i.e., gene and cell therapy products, as well as tissue engineered products. It will apply to all orphan medicinal products from January 2028. The EU will prepare joint clinical assessment (“JCA”) reports in parallel with the marketing authorization review processes. The JCA will report on the relative or “added value” effectiveness of the product in comparison with existing health technologies. While EU member states remain responsible for pricing and reimbursement decisions, they must take “due consideration” of JCA and it is likely that more and more member states will factor the added clinical value offered by new products into their market access decisions. Accordingly, increasingly high barriers are being erected to the entry of new products in the marketplace in the EU.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Political, economic and regulatory developments in the EU may further complicate pricing negotiations, and pricing negotiations may continue after reimbursement has been obtained. Reference pricing used by various EU member states and parallel trade (arbitrage between low-priced and high-priced member states) can further reduce prices.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December 2025, the EU Parliament and Council reached political agreement on the proposals to amend the current EU pharmaceutical regulatory framework. As discussed above, the final agreed text is likely to be released in late 2026, but it is generally expected that it will contain provisions that may cause additional pressure on pricing issues across the EU. For example, it is expected that the legislation will give EU member states the power, within one year of marketing authorization, to request that the marketing authorization holder places a product benefiting from regulatory data exclusivity protection or extended orphan market protection on its market in sufficient quantities and in the presentations necessary to cover patient needs. The request must be “proportionate” and may include: submission of a valid pricing and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reimbursement application; participating in public procurement procedures; and establishing a roll-out plan. Failure to comply with the request within three years of the member state request would mean that regulatory data protection no longer applies in that member state and that the member state or EMA are able to validate generic/biosimilar applications after six years. However, the regulator cannot grant the marketing authorization until regulatory exclusivity, and, where applicable, orphan exclusivity, has expired. The new legislation also provides for the loss of market protection or orphan market protection prolongation in the member state, meaning that generics/biosimilars may launch earlier.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 separate parallel mechanism allows member states to request that marketing authorization holders for centrally authorized products launch and supply medicinal products benefiting from patent, supplementary patent term, regulatory data and extended orphan market protection. A failure by the marketing authorization holder to ensure adequate supplies may result in member state escalation to the European Commission. It is possible that these provisions could result in companies being forced to engage with member states that may otherwise be lower priority markets, which may result in downward pressure on price.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Both these supply mechanisms mean that companies may find themselves under pressure to launch in jurisdictions earlier than they might otherwise do. Some of these may be associated with lower pharmaceutical pricing and may have the potential to serve as benchmarks for US MFN pricing models.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changes to EU pharmaceutical legislation are not expected to come into force until 2027. Additional transitional periods mean that, while some of these changes, including the first mechanism for member states to request supplies, may take effect in early 2028, others will most likely not take effect until early 2029. Based on the available draft text of the legislation, however, we expect that the new legislation should not apply to products for which marketing authorization applications are filed and approved under the current rules.</w:t>
      </w:r>
    </w:p>
    <w:p>
      <w:pPr>
        <w:pStyle w:val="TextBody"/>
        <w:bidi w:val="0"/>
        <w:spacing w:before="200" w:after="283"/>
        <w:jc w:val="left"/>
        <w:rPr>
          <w:rFonts w:ascii="Times New Roman" w:hAnsi="Times New Roman"/>
          <w:b/>
          <w:color w:val="000000"/>
          <w:sz w:val="20"/>
        </w:rPr>
      </w:pPr>
      <w:bookmarkStart w:id="16" w:name="part_2_item_2"/>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part_2_item_3"/>
      <w:bookmarkEnd w:id="17"/>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part_2_item_4"/>
      <w:bookmarkEnd w:id="1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part_2_item_5"/>
      <w:bookmarkEnd w:id="19"/>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Rule 10b5-1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promulgated under the Exchange Act) adopted or terminated a Rule 10b5-1 trading arrangement (as defined in Item 408(a)(1)(i) of Regulation S-K) or a non-10b5-1 trading arrangement (as defined in Item 408(c) of Regulation S-K).</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69"/>
        <w:gridCol w:w="146"/>
        <w:gridCol w:w="9290"/>
      </w:tblGrid>
      <w:tr>
        <w:trPr/>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r>
      <w:tr>
        <w:trPr/>
        <w:tc>
          <w:tcPr>
            <w:tcW w:w="7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Description of Document</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English translation of the Deed of Conversion and Articles of Association of NewAmsterdam Pharma Company N.V. (incorporated by reference to Exhibit 1.1 to the Shell Company Report on Form 20-F (File No. 001-41562), filed with the SEC on November 28, 2022).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NewAmsterdam Pharma Company N.V. 2026 Employee Stock Purchase Plan (incorporated by reference to Exhibit 10.1 to the Company's Current Report on Form 8-K (Fie No. 001-41562) filed on June 3, 2026).</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w:anchor="nams-ex10_2.htm">
              <w:r>
                <w:rPr>
                  <w:rStyle w:val="InternetLink"/>
                  <w:rFonts w:ascii="Times New Roman" w:hAnsi="Times New Roman"/>
                  <w:color w:val="0000FF"/>
                  <w:sz w:val="20"/>
                  <w:u w:val="single"/>
                </w:rPr>
                <w:t>Settlement Agreement, dated April 20, 2026, between the Company and Louise Kooij.</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w:anchor="nams-ex31_1.htm">
              <w:r>
                <w:rPr>
                  <w:rStyle w:val="InternetLink"/>
                  <w:rFonts w:ascii="Times New Roman" w:hAnsi="Times New Roman"/>
                  <w:color w:val="0000FF"/>
                  <w:sz w:val="18"/>
                  <w:u w:val="single"/>
                </w:rPr>
                <w:t>Certification of Principal Executive Officer Pursuant to Rules 13a-14(a) and 15d-14(a) under the Securities Exchange Act of 1934, as Adopted Pursuant to Section 302 of the Sarbanes-Oxley Act of 2002.</w:t>
              </w:r>
            </w:hyperlink>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
        <w:gridCol w:w="146"/>
        <w:gridCol w:w="9334"/>
      </w:tblGrid>
      <w:tr>
        <w:trPr/>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4" w:type="dxa"/>
            <w:tcBorders/>
            <w:vAlign w:val="center"/>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4" w:type="dxa"/>
            <w:tcBorders/>
            <w:tcMar>
              <w:top w:w="0" w:type="dxa"/>
              <w:left w:w="0" w:type="dxa"/>
              <w:bottom w:w="0" w:type="dxa"/>
              <w:right w:w="0" w:type="dxa"/>
            </w:tcMar>
            <w:vAlign w:val="center"/>
          </w:tcPr>
          <w:p>
            <w:pPr>
              <w:pStyle w:val="TableContents"/>
              <w:bidi w:val="0"/>
              <w:spacing w:before="0" w:after="283"/>
              <w:jc w:val="left"/>
              <w:rPr/>
            </w:pPr>
            <w:hyperlink w:anchor="nams-ex31_2.htm">
              <w:r>
                <w:rPr>
                  <w:rStyle w:val="InternetLink"/>
                  <w:rFonts w:ascii="Times New Roman" w:hAnsi="Times New Roman"/>
                  <w:color w:val="0000FF"/>
                  <w:sz w:val="18"/>
                  <w:u w:val="single"/>
                </w:rPr>
                <w:t>Certification of Principal Financial Officer Pursuant to Rules 13a-14(a) and 15d-14(a) under the Securities Exchange Act of 1934, as Adopted Pursuant to Section 302 of the Sarbanes-Oxley Act of 2002.</w:t>
              </w:r>
            </w:hyperlink>
          </w:p>
        </w:tc>
      </w:tr>
      <w:tr>
        <w:trPr/>
        <w:tc>
          <w:tcPr>
            <w:tcW w:w="72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4" w:type="dxa"/>
            <w:tcBorders/>
            <w:tcMar>
              <w:top w:w="0" w:type="dxa"/>
              <w:left w:w="0" w:type="dxa"/>
              <w:bottom w:w="0" w:type="dxa"/>
              <w:right w:w="0" w:type="dxa"/>
            </w:tcMar>
            <w:vAlign w:val="center"/>
          </w:tcPr>
          <w:p>
            <w:pPr>
              <w:pStyle w:val="TableContents"/>
              <w:bidi w:val="0"/>
              <w:spacing w:before="0" w:after="283"/>
              <w:jc w:val="left"/>
              <w:rPr/>
            </w:pPr>
            <w:hyperlink w:anchor="nams-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r>
      <w:tr>
        <w:trPr/>
        <w:tc>
          <w:tcPr>
            <w:tcW w:w="72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4" w:type="dxa"/>
            <w:tcBorders/>
            <w:tcMar>
              <w:top w:w="0" w:type="dxa"/>
              <w:left w:w="0" w:type="dxa"/>
              <w:bottom w:w="0" w:type="dxa"/>
              <w:right w:w="0" w:type="dxa"/>
            </w:tcMar>
            <w:vAlign w:val="center"/>
          </w:tcPr>
          <w:p>
            <w:pPr>
              <w:pStyle w:val="TableContents"/>
              <w:bidi w:val="0"/>
              <w:spacing w:before="0" w:after="283"/>
              <w:jc w:val="left"/>
              <w:rPr/>
            </w:pPr>
            <w:hyperlink w:anchor="nams-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 the cover page interactive data is embedded within the Inline XBRL document and included in Exhibit 101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 </w:t>
      </w:r>
      <w:r>
        <w:rPr>
          <w:rFonts w:ascii="Times New Roman" w:hAnsi="Times New Roman"/>
          <w:color w:val="000000"/>
          <w:sz w:val="20"/>
        </w:rPr>
        <w:t>The certifications attached as Exhibit 32.1 and 32.2 accompanying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169" w:type="dxa"/>
        <w:jc w:val="left"/>
        <w:tblInd w:w="0" w:type="dxa"/>
        <w:tblLayout w:type="fixed"/>
        <w:tblCellMar>
          <w:top w:w="28" w:type="dxa"/>
          <w:left w:w="28" w:type="dxa"/>
          <w:bottom w:w="28" w:type="dxa"/>
          <w:right w:w="28" w:type="dxa"/>
        </w:tblCellMar>
      </w:tblPr>
      <w:tblGrid>
        <w:gridCol w:w="1951"/>
        <w:gridCol w:w="146"/>
        <w:gridCol w:w="406"/>
        <w:gridCol w:w="46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NewAmsterdam Pharma Company N.V.</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Davidson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Davidson, 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Authorized Signatory)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Somaiya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Somaiya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2" w:name="nams-ex10_2.htm"/>
      <w:bookmarkStart w:id="23" w:name="ksnamsex10_2"/>
      <w:bookmarkEnd w:id="22"/>
      <w:bookmarkEnd w:id="23"/>
      <w:r>
        <w:rPr>
          <w:rFonts w:ascii="Times New Roman" w:hAnsi="Times New Roman"/>
          <w:color w:val="000000"/>
          <w:sz w:val="22"/>
        </w:rPr>
        <w:t>Exhibit 10.2</w:t>
      </w:r>
      <w:r>
        <w:br w:type="page"/>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SETTLEMENT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THE UNDERSIGNED</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w:t>
      </w:r>
    </w:p>
    <w:p>
      <w:pPr>
        <w:pStyle w:val="TextBody"/>
        <w:bidi w:val="0"/>
        <w:jc w:val="both"/>
        <w:rPr/>
      </w:pPr>
      <w:r>
        <w:rPr>
          <w:rFonts w:ascii="Times New Roman" w:hAnsi="Times New Roman"/>
          <w:b/>
          <w:color w:val="000000"/>
          <w:sz w:val="22"/>
          <w:u w:val="single"/>
        </w:rPr>
        <w:t>NewAmsterdam Pharma Company N.V.</w:t>
      </w:r>
      <w:r>
        <w:rPr>
          <w:rFonts w:ascii="Times New Roman" w:hAnsi="Times New Roman"/>
          <w:color w:val="000000"/>
          <w:sz w:val="22"/>
        </w:rPr>
        <w:t>, a private company with limited liability under Dutch law, having its corporate seat at Naarden and maintaining business premises at Gooimeer 2 35 in (1411 DC) Naarden, registered with the Chamber of Commerce under number 86649051, referred to hereafter as: the "</w:t>
      </w:r>
      <w:r>
        <w:rPr>
          <w:rFonts w:ascii="Times New Roman" w:hAnsi="Times New Roman"/>
          <w:b/>
          <w:color w:val="000000"/>
          <w:sz w:val="22"/>
        </w:rPr>
        <w:t>Employer</w:t>
      </w:r>
      <w:r>
        <w:rPr>
          <w:rFonts w:ascii="Times New Roman" w:hAnsi="Times New Roman"/>
          <w:color w:val="000000"/>
          <w:sz w:val="22"/>
        </w:rPr>
        <w:t xml:space="preserve">"; </w:t>
      </w:r>
    </w:p>
    <w:p>
      <w:pPr>
        <w:pStyle w:val="TextBody"/>
        <w:bidi w:val="0"/>
        <w:jc w:val="both"/>
        <w:rPr>
          <w:rFonts w:ascii="Times New Roman" w:hAnsi="Times New Roman"/>
          <w:sz w:val="20"/>
        </w:rPr>
      </w:pPr>
      <w:r>
        <w:rPr>
          <w:rFonts w:ascii="Times New Roman" w:hAnsi="Times New Roman"/>
          <w:color w:val="000000"/>
          <w:sz w:val="22"/>
        </w:rPr>
        <w:t>and</w:t>
        <w:br/>
      </w:r>
      <w:r>
        <w:rPr>
          <w:rFonts w:ascii="Times New Roman" w:hAnsi="Times New Roman"/>
          <w:color w:val="000000"/>
          <w:sz w:val="20"/>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w:t>
      </w:r>
    </w:p>
    <w:p>
      <w:pPr>
        <w:pStyle w:val="TextBody"/>
        <w:bidi w:val="0"/>
        <w:jc w:val="both"/>
        <w:rPr/>
      </w:pPr>
      <w:r>
        <w:rPr>
          <w:rFonts w:ascii="Times New Roman" w:hAnsi="Times New Roman"/>
          <w:color w:val="000000"/>
          <w:sz w:val="22"/>
        </w:rPr>
        <w:t xml:space="preserve">Ms. </w:t>
      </w:r>
      <w:r>
        <w:rPr>
          <w:rFonts w:ascii="Times New Roman" w:hAnsi="Times New Roman"/>
          <w:b/>
          <w:color w:val="000000"/>
          <w:sz w:val="22"/>
          <w:u w:val="single"/>
        </w:rPr>
        <w:t>L. (Louise) Kooij</w:t>
      </w:r>
      <w:r>
        <w:rPr>
          <w:rFonts w:ascii="Times New Roman" w:hAnsi="Times New Roman"/>
          <w:color w:val="000000"/>
          <w:sz w:val="22"/>
        </w:rPr>
        <w:t>, residing at [***] (the "</w:t>
      </w:r>
      <w:r>
        <w:rPr>
          <w:rFonts w:ascii="Times New Roman" w:hAnsi="Times New Roman"/>
          <w:b/>
          <w:color w:val="000000"/>
          <w:sz w:val="22"/>
        </w:rPr>
        <w:t>Employee</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each a "</w:t>
      </w:r>
      <w:r>
        <w:rPr>
          <w:rFonts w:ascii="Times New Roman" w:hAnsi="Times New Roman"/>
          <w:b/>
          <w:color w:val="000000"/>
          <w:sz w:val="22"/>
        </w:rPr>
        <w:t>Party</w:t>
      </w:r>
      <w:r>
        <w:rPr>
          <w:rFonts w:ascii="Times New Roman" w:hAnsi="Times New Roman"/>
          <w:color w:val="000000"/>
          <w:sz w:val="22"/>
        </w:rPr>
        <w:t>" and together, collectively, the "</w:t>
      </w:r>
      <w:r>
        <w:rPr>
          <w:rFonts w:ascii="Times New Roman" w:hAnsi="Times New Roman"/>
          <w:b/>
          <w:color w:val="000000"/>
          <w:sz w:val="22"/>
        </w:rPr>
        <w:t>Parties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WHEREAS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pPr>
      <w:r>
        <w:rPr>
          <w:rFonts w:ascii="Times New Roman" w:hAnsi="Times New Roman"/>
          <w:color w:val="000000"/>
          <w:sz w:val="22"/>
        </w:rPr>
        <w:t>The Employee has been employed by the Employer since 1 November 2022 on the basis of an employment agreement for indefinite term, pursuant to which the Employee was lastly employed in the position of Chief Accounting Officer (the "</w:t>
      </w:r>
      <w:r>
        <w:rPr>
          <w:rFonts w:ascii="Times New Roman" w:hAnsi="Times New Roman"/>
          <w:b/>
          <w:color w:val="000000"/>
          <w:sz w:val="22"/>
        </w:rPr>
        <w:t>Employment Agreement</w:t>
      </w:r>
      <w:r>
        <w:rPr>
          <w:rFonts w:ascii="Times New Roman" w:hAnsi="Times New Roman"/>
          <w:color w:val="000000"/>
          <w:sz w:val="22"/>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 xml:space="preserve">The Parties have different views on how the Employee's work should be conducted. The Parties have discussed their differences and came to the conclusion that a successful cooperation in the future is no longer feasible.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 xml:space="preserve">Furthermore, the Employer has come to the conclusion that there are no other suitable positions available within the Employer's organization or within any of the group of entities, which has also been acknowledged by the Employee. </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jc w:val="both"/>
        <w:rPr/>
      </w:pPr>
      <w:r>
        <w:rPr>
          <w:rFonts w:ascii="Times New Roman" w:hAnsi="Times New Roman"/>
          <w:color w:val="000000"/>
          <w:sz w:val="22"/>
        </w:rPr>
        <w:t xml:space="preserve">In view of the above, the Employer has expressed its wish to terminate the Employment Agreement. In this regard, the Employer confirms that the termination of the Employment Agreement is triggered on its initiative; that there is no urgent cause (in Dutch: </w:t>
      </w:r>
      <w:r>
        <w:rPr>
          <w:rFonts w:ascii="Times New Roman" w:hAnsi="Times New Roman"/>
          <w:i/>
          <w:color w:val="000000"/>
          <w:sz w:val="22"/>
        </w:rPr>
        <w:t>dringende reden</w:t>
      </w:r>
      <w:r>
        <w:rPr>
          <w:rFonts w:ascii="Times New Roman" w:hAnsi="Times New Roman"/>
          <w:color w:val="000000"/>
          <w:sz w:val="22"/>
        </w:rPr>
        <w:t>) for such termination within the meaning of article 7:678 of the Dutch Civil Code ("</w:t>
      </w:r>
      <w:r>
        <w:rPr>
          <w:rFonts w:ascii="Times New Roman" w:hAnsi="Times New Roman"/>
          <w:b/>
          <w:color w:val="000000"/>
          <w:sz w:val="22"/>
        </w:rPr>
        <w:t>DCC</w:t>
      </w:r>
      <w:r>
        <w:rPr>
          <w:rFonts w:ascii="Times New Roman" w:hAnsi="Times New Roman"/>
          <w:color w:val="000000"/>
          <w:sz w:val="22"/>
        </w:rPr>
        <w:t xml:space="preserve">") (in Dutch: </w:t>
      </w:r>
      <w:r>
        <w:rPr>
          <w:rFonts w:ascii="Times New Roman" w:hAnsi="Times New Roman"/>
          <w:i/>
          <w:color w:val="000000"/>
          <w:sz w:val="22"/>
        </w:rPr>
        <w:t>Burgerlijk Wetboek</w:t>
      </w:r>
      <w:r>
        <w:rPr>
          <w:rFonts w:ascii="Times New Roman" w:hAnsi="Times New Roman"/>
          <w:color w:val="000000"/>
          <w:sz w:val="22"/>
        </w:rPr>
        <w:t>)</w:t>
      </w:r>
      <w:r>
        <w:rPr>
          <w:color w:val="000000"/>
        </w:rPr>
        <w:t xml:space="preserve"> </w:t>
      </w:r>
      <w:r>
        <w:rPr>
          <w:rFonts w:ascii="Times New Roman" w:hAnsi="Times New Roman"/>
          <w:color w:val="000000"/>
          <w:sz w:val="22"/>
        </w:rPr>
        <w:t xml:space="preserve">and that the Employee is not to blame in this respect. </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E.</w:t>
      </w:r>
    </w:p>
    <w:p>
      <w:pPr>
        <w:pStyle w:val="TextBody"/>
        <w:bidi w:val="0"/>
        <w:jc w:val="both"/>
        <w:rPr/>
      </w:pPr>
      <w:r>
        <w:rPr>
          <w:rFonts w:ascii="Times New Roman" w:hAnsi="Times New Roman"/>
          <w:color w:val="000000"/>
          <w:sz w:val="22"/>
        </w:rPr>
        <w:t>Taking into account the foregoing, the Parties entered into discussions on the terms and conditions of an amicable settlement on the termination of the Employment Agreement as well as any other issues there may be and wish to lay down the settlement in this agreement (this ''</w:t>
      </w:r>
      <w:r>
        <w:rPr>
          <w:rFonts w:ascii="Times New Roman" w:hAnsi="Times New Roman"/>
          <w:b/>
          <w:color w:val="000000"/>
          <w:sz w:val="22"/>
        </w:rPr>
        <w:t>Agreement</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F.</w:t>
      </w:r>
    </w:p>
    <w:p>
      <w:pPr>
        <w:pStyle w:val="TextBody"/>
        <w:bidi w:val="0"/>
        <w:jc w:val="both"/>
        <w:rPr>
          <w:rFonts w:ascii="Times New Roman" w:hAnsi="Times New Roman"/>
          <w:color w:val="000000"/>
          <w:sz w:val="22"/>
        </w:rPr>
      </w:pPr>
      <w:r>
        <w:rPr>
          <w:rFonts w:ascii="Times New Roman" w:hAnsi="Times New Roman"/>
          <w:color w:val="000000"/>
          <w:sz w:val="22"/>
        </w:rPr>
        <w:t xml:space="preserve">The Employee has sought and obtained legal advice on the content of this Agreement and the consequences thereof, or has at least obtained the Employer's advice to do so.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G.</w:t>
      </w:r>
    </w:p>
    <w:p>
      <w:pPr>
        <w:pStyle w:val="TextBody"/>
        <w:bidi w:val="0"/>
        <w:jc w:val="both"/>
        <w:rPr/>
      </w:pPr>
      <w:r>
        <w:rPr>
          <w:rFonts w:ascii="Times New Roman" w:hAnsi="Times New Roman"/>
          <w:color w:val="000000"/>
          <w:sz w:val="22"/>
        </w:rPr>
        <w:t xml:space="preserve">By means of this Agreement - which is considered to be a settlement agreement (in Dutch: </w:t>
      </w:r>
      <w:r>
        <w:rPr>
          <w:rFonts w:ascii="Times New Roman" w:hAnsi="Times New Roman"/>
          <w:i/>
          <w:color w:val="000000"/>
          <w:sz w:val="22"/>
        </w:rPr>
        <w:t>vaststellingsovereenkomst</w:t>
      </w:r>
      <w:r>
        <w:rPr>
          <w:rFonts w:ascii="Times New Roman" w:hAnsi="Times New Roman"/>
          <w:color w:val="000000"/>
          <w:sz w:val="22"/>
        </w:rPr>
        <w:t>)</w:t>
      </w:r>
      <w:r>
        <w:rPr>
          <w:color w:val="000000"/>
        </w:rPr>
        <w:t xml:space="preserve"> </w:t>
      </w:r>
      <w:r>
        <w:rPr>
          <w:rFonts w:ascii="Times New Roman" w:hAnsi="Times New Roman"/>
          <w:color w:val="000000"/>
          <w:sz w:val="22"/>
        </w:rPr>
        <w:t>within the meaning of article 7:900 et seq. DCC - the Parties wish to record and lay down what they exhaustively and comprehensively have established and agreed in respect of the termination of the Employment Agreement, with a view to end and prevent any uncertainty or dispute between them as to what applies between them by law, whereby the Parties waive any and all claims and agreements against each other, which might exist or might have existed.</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HAVE AGREED AS FOLLOWS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w:t>
      </w:r>
    </w:p>
    <w:p>
      <w:pPr>
        <w:pStyle w:val="TextBody"/>
        <w:bidi w:val="0"/>
        <w:jc w:val="both"/>
        <w:rPr/>
      </w:pPr>
      <w:r>
        <w:rPr>
          <w:rFonts w:ascii="Times New Roman" w:hAnsi="Times New Roman"/>
          <w:b/>
          <w:color w:val="000000"/>
          <w:sz w:val="22"/>
        </w:rPr>
        <w:t xml:space="preserve">Termination of Employment Agreement </w:t>
        <w:br/>
      </w:r>
      <w:r>
        <w:rPr>
          <w:color w:val="000000"/>
        </w:rPr>
        <w:t> </w:t>
      </w:r>
    </w:p>
    <w:p>
      <w:pPr>
        <w:pStyle w:val="TextBody"/>
        <w:bidi w:val="0"/>
        <w:jc w:val="both"/>
        <w:rPr>
          <w:rFonts w:ascii="Times New Roman" w:hAnsi="Times New Roman"/>
          <w:sz w:val="20"/>
        </w:rPr>
      </w:pPr>
      <w:r>
        <w:rPr>
          <w:rFonts w:ascii="Times New Roman" w:hAnsi="Times New Roman"/>
          <w:color w:val="000000"/>
          <w:sz w:val="22"/>
        </w:rPr>
        <w:t xml:space="preserve">The Employment Agreement shall terminate with mutual consent (in Dutch: </w:t>
      </w:r>
      <w:r>
        <w:rPr>
          <w:rFonts w:ascii="Times New Roman" w:hAnsi="Times New Roman"/>
          <w:i/>
          <w:color w:val="000000"/>
          <w:sz w:val="22"/>
        </w:rPr>
        <w:t>eindigt met wederzijds goedvinden</w:t>
      </w:r>
      <w:r>
        <w:rPr>
          <w:rFonts w:ascii="Times New Roman" w:hAnsi="Times New Roman"/>
          <w:color w:val="000000"/>
          <w:sz w:val="22"/>
        </w:rPr>
        <w:t>) with effect from 1 September 2026, with 31 August 2026 therefore being the final day that the Employee is employed by the Employer (the "</w:t>
      </w:r>
      <w:r>
        <w:rPr>
          <w:rFonts w:ascii="Times New Roman" w:hAnsi="Times New Roman"/>
          <w:b/>
          <w:color w:val="000000"/>
          <w:sz w:val="22"/>
        </w:rPr>
        <w:t>Termination Date</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0"/>
        <w:jc w:val="both"/>
        <w:rPr/>
      </w:pPr>
      <w:r>
        <w:rPr>
          <w:rFonts w:ascii="Times New Roman" w:hAnsi="Times New Roman"/>
          <w:b/>
          <w:color w:val="000000"/>
          <w:sz w:val="22"/>
        </w:rPr>
        <w:t xml:space="preserve">Period until Termination Date </w:t>
        <w:br/>
      </w:r>
      <w:r>
        <w:rPr>
          <w:color w:val="000000"/>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w:t>
      </w:r>
    </w:p>
    <w:p>
      <w:pPr>
        <w:pStyle w:val="TextBody"/>
        <w:bidi w:val="0"/>
        <w:jc w:val="both"/>
        <w:rPr>
          <w:rFonts w:ascii="Times New Roman" w:hAnsi="Times New Roman"/>
          <w:color w:val="000000"/>
          <w:sz w:val="22"/>
        </w:rPr>
      </w:pPr>
      <w:r>
        <w:rPr>
          <w:rFonts w:ascii="Times New Roman" w:hAnsi="Times New Roman"/>
          <w:color w:val="000000"/>
          <w:sz w:val="22"/>
        </w:rPr>
        <w:t>The Employee shall continue to perform her duties pursuant to the Employment Agreement to the best of her abilities and in a loyal, diligent and professional manner until the Termination Date, or as otherwise instructed by the Employer. In addition, the Employee shall be available to, if so requested, assist the Employer concerning a proper handover of tasks and knowledge.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2.2.</w:t>
      </w:r>
    </w:p>
    <w:p>
      <w:pPr>
        <w:pStyle w:val="TextBody"/>
        <w:bidi w:val="0"/>
        <w:jc w:val="both"/>
        <w:rPr/>
      </w:pPr>
      <w:r>
        <w:rPr>
          <w:rFonts w:ascii="Times New Roman" w:hAnsi="Times New Roman"/>
          <w:color w:val="000000"/>
          <w:sz w:val="22"/>
        </w:rPr>
        <w:t>The Employee can enter into an employment agreement with another employer before the Termination Date at any time without being bound to a notice period. In such case, the Employee will notify the Employer thereof in writing and the Employment Agreement will end as of the starting date of the new employment agreement (the "</w:t>
      </w:r>
      <w:r>
        <w:rPr>
          <w:rFonts w:ascii="Times New Roman" w:hAnsi="Times New Roman"/>
          <w:b/>
          <w:color w:val="000000"/>
          <w:sz w:val="22"/>
        </w:rPr>
        <w:t>Earlier Termination Date</w:t>
      </w:r>
      <w:r>
        <w:rPr>
          <w:rFonts w:ascii="Times New Roman" w:hAnsi="Times New Roman"/>
          <w:color w:val="000000"/>
          <w:sz w:val="22"/>
        </w:rPr>
        <w:t>"). In that event, this Agreement will remain in full force and effect, provided that: (i) the Employment Agreement shall terminate with mutual consent with effect from the Earlier Termination Date (ii) wherever the term Termination Date is used this should be read as the Earlier Termination Date. For clarity, in the event of an Earlier Termination Date, Employee retains entitlement to (A) the severance compensation set forth in Section 3.1 below, (b) the STI set forth in Section 4.2 below, (C) the continued vesting of the LTI and extended exercisability of stock options set forth in Section 4.3 below, and (D) any other payments and benefits under this Agreement, in each case (A) to (D), subject to the terms and conditions set forth in this Agreement.</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w:t>
      </w:r>
    </w:p>
    <w:p>
      <w:pPr>
        <w:pStyle w:val="TextBody"/>
        <w:bidi w:val="0"/>
        <w:jc w:val="both"/>
        <w:rPr>
          <w:rFonts w:ascii="Times New Roman" w:hAnsi="Times New Roman"/>
          <w:b/>
          <w:color w:val="000000"/>
          <w:sz w:val="22"/>
        </w:rPr>
      </w:pPr>
      <w:r>
        <w:rPr>
          <w:rFonts w:ascii="Times New Roman" w:hAnsi="Times New Roman"/>
          <w:b/>
          <w:color w:val="000000"/>
          <w:sz w:val="22"/>
        </w:rPr>
        <w:t xml:space="preserve">Severance compensation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3.1.</w:t>
      </w:r>
    </w:p>
    <w:p>
      <w:pPr>
        <w:pStyle w:val="TextBody"/>
        <w:bidi w:val="0"/>
        <w:jc w:val="both"/>
        <w:rPr>
          <w:rFonts w:ascii="Times New Roman" w:hAnsi="Times New Roman"/>
          <w:color w:val="000000"/>
          <w:sz w:val="22"/>
        </w:rPr>
      </w:pPr>
      <w:r>
        <w:rPr>
          <w:rFonts w:ascii="Times New Roman" w:hAnsi="Times New Roman"/>
          <w:color w:val="000000"/>
          <w:sz w:val="22"/>
        </w:rPr>
        <w:t xml:space="preserve">As compensation for the termination of the Employment Agreement, including the termination of all functions the Employee holds on behalf of the Employer, the Employer shall pay the Employee a termination fee in euros equal to twelve (12) gross monthly salaries at her gross monthly rate currently in effect on the books and records of the Company.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3.2.</w:t>
      </w:r>
    </w:p>
    <w:p>
      <w:pPr>
        <w:pStyle w:val="TextBody"/>
        <w:bidi w:val="0"/>
        <w:jc w:val="both"/>
        <w:rPr/>
      </w:pPr>
      <w:r>
        <w:rPr>
          <w:rFonts w:ascii="Times New Roman" w:hAnsi="Times New Roman"/>
          <w:color w:val="000000"/>
          <w:sz w:val="22"/>
        </w:rPr>
        <w:t xml:space="preserve">The Employer shall pay the compensation amount as referred to in section 3.1 of this Agreement, under withholding of wage tax (in Dutch: </w:t>
      </w:r>
      <w:r>
        <w:rPr>
          <w:rFonts w:ascii="Times New Roman" w:hAnsi="Times New Roman"/>
          <w:i/>
          <w:color w:val="000000"/>
          <w:sz w:val="22"/>
        </w:rPr>
        <w:t>loonbelasting</w:t>
      </w:r>
      <w:r>
        <w:rPr>
          <w:rFonts w:ascii="Times New Roman" w:hAnsi="Times New Roman"/>
          <w:color w:val="000000"/>
          <w:sz w:val="22"/>
        </w:rPr>
        <w:t>)</w:t>
      </w:r>
      <w:r>
        <w:rPr>
          <w:color w:val="000000"/>
        </w:rPr>
        <w:t xml:space="preserve"> </w:t>
      </w:r>
      <w:r>
        <w:rPr>
          <w:rFonts w:ascii="Times New Roman" w:hAnsi="Times New Roman"/>
          <w:color w:val="000000"/>
          <w:sz w:val="22"/>
        </w:rPr>
        <w:t xml:space="preserve">and social premiums (in Dutch: </w:t>
      </w:r>
      <w:r>
        <w:rPr>
          <w:rFonts w:ascii="Times New Roman" w:hAnsi="Times New Roman"/>
          <w:i/>
          <w:color w:val="000000"/>
          <w:sz w:val="22"/>
        </w:rPr>
        <w:t>sociale premies</w:t>
      </w:r>
      <w:r>
        <w:rPr>
          <w:rFonts w:ascii="Times New Roman" w:hAnsi="Times New Roman"/>
          <w:color w:val="000000"/>
          <w:sz w:val="22"/>
        </w:rPr>
        <w:t>), within 4 weeks after the Termination Date by wire transfer to the Employee's regular salary account.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3.3.</w:t>
      </w:r>
    </w:p>
    <w:p>
      <w:pPr>
        <w:pStyle w:val="TextBody"/>
        <w:bidi w:val="0"/>
        <w:jc w:val="both"/>
        <w:rPr>
          <w:rFonts w:ascii="Times New Roman" w:hAnsi="Times New Roman"/>
          <w:color w:val="000000"/>
          <w:sz w:val="22"/>
        </w:rPr>
      </w:pPr>
      <w:r>
        <w:rPr>
          <w:rFonts w:ascii="Times New Roman" w:hAnsi="Times New Roman"/>
          <w:color w:val="000000"/>
          <w:sz w:val="22"/>
        </w:rPr>
        <w:t>For the avoidance of doubt, the Parties acknowledge and confirm that the Employee shall not be entitled to any other benefit, bonus, incentive, compensation or other type of payment, than those payments explicitly mentioned and provided for in this Agreement.</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w:t>
      </w:r>
    </w:p>
    <w:p>
      <w:pPr>
        <w:pStyle w:val="TextBody"/>
        <w:bidi w:val="0"/>
        <w:jc w:val="both"/>
        <w:rPr>
          <w:rFonts w:ascii="Times New Roman" w:hAnsi="Times New Roman"/>
          <w:b/>
          <w:color w:val="000000"/>
          <w:sz w:val="22"/>
        </w:rPr>
      </w:pPr>
      <w:r>
        <w:rPr>
          <w:rFonts w:ascii="Times New Roman" w:hAnsi="Times New Roman"/>
          <w:b/>
          <w:color w:val="000000"/>
          <w:sz w:val="22"/>
        </w:rPr>
        <w:t>Outstanding benefits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4.1.</w:t>
      </w:r>
    </w:p>
    <w:p>
      <w:pPr>
        <w:pStyle w:val="TextBody"/>
        <w:bidi w:val="0"/>
        <w:jc w:val="both"/>
        <w:rPr>
          <w:rFonts w:ascii="Times New Roman" w:hAnsi="Times New Roman"/>
          <w:color w:val="000000"/>
          <w:sz w:val="22"/>
        </w:rPr>
      </w:pPr>
      <w:r>
        <w:rPr>
          <w:rFonts w:ascii="Times New Roman" w:hAnsi="Times New Roman"/>
          <w:color w:val="000000"/>
          <w:sz w:val="22"/>
        </w:rPr>
        <w:t xml:space="preserve">The Employee will receive full payment of the fixed salary and emoluments up to and including the Termination Date.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4.2.</w:t>
      </w:r>
    </w:p>
    <w:p>
      <w:pPr>
        <w:pStyle w:val="TextBody"/>
        <w:bidi w:val="0"/>
        <w:jc w:val="both"/>
        <w:rPr>
          <w:rFonts w:ascii="Times New Roman" w:hAnsi="Times New Roman"/>
          <w:color w:val="000000"/>
          <w:sz w:val="22"/>
        </w:rPr>
      </w:pPr>
      <w:r>
        <w:rPr>
          <w:rFonts w:ascii="Times New Roman" w:hAnsi="Times New Roman"/>
          <w:color w:val="000000"/>
          <w:sz w:val="22"/>
        </w:rPr>
        <w:t>With respect to the STI (as defined in the Employment Agreement) for the year 2026, the Parties agree that the Employee shall be entitled to a pro-rated bonus amount assuming target achievement of applicable performance goals over the period 1 January 2026 until the Termination Date. This bonus payment shall be paid out by the Employer together with the severance compensation referred to in section 3.1 of this Agreement.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4.3.</w:t>
      </w:r>
    </w:p>
    <w:p>
      <w:pPr>
        <w:pStyle w:val="TextBody"/>
        <w:bidi w:val="0"/>
        <w:jc w:val="both"/>
        <w:rPr>
          <w:rFonts w:ascii="Times New Roman" w:hAnsi="Times New Roman"/>
          <w:color w:val="000000"/>
          <w:sz w:val="22"/>
        </w:rPr>
      </w:pPr>
      <w:r>
        <w:rPr>
          <w:rFonts w:ascii="Times New Roman" w:hAnsi="Times New Roman"/>
          <w:color w:val="000000"/>
          <w:sz w:val="22"/>
        </w:rPr>
        <w:t xml:space="preserve">With respect to the LTI (as defined in the Employment Agreement), the Parties acknowledge that the termination of the Employment Agreement shall also result in a termination of the Employee’s eligibility for participation in the LTI. In this respect, the Parties agree as follows: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4.3.1.</w:t>
      </w:r>
    </w:p>
    <w:p>
      <w:pPr>
        <w:pStyle w:val="TextBody"/>
        <w:bidi w:val="0"/>
        <w:jc w:val="both"/>
        <w:rPr/>
      </w:pPr>
      <w:r>
        <w:rPr>
          <w:rFonts w:ascii="Times New Roman" w:hAnsi="Times New Roman"/>
          <w:color w:val="000000"/>
          <w:sz w:val="22"/>
        </w:rPr>
        <w:t>Notwithstanding the termination of Employee’s employment on the Termination Date, and expressly conditioned upon Employee’s continued full compliance with all terms of this Agreement (including, without limitation, any confidentiality, non-disparagement, non-solicitation, cooperation, and other post-employment obligations) and the CAIA (as defined in the Employment Agreement), all outstanding equity awards held by Employee as of the Termination Date that are eligible to vest based solely on continued service shall continue to vest in accordance with their existing terms through 10 January 2027 (the “</w:t>
      </w:r>
      <w:r>
        <w:rPr>
          <w:rFonts w:ascii="Times New Roman" w:hAnsi="Times New Roman"/>
          <w:b/>
          <w:color w:val="000000"/>
          <w:sz w:val="22"/>
        </w:rPr>
        <w:t>Final Vesting Date</w:t>
      </w:r>
      <w:r>
        <w:rPr>
          <w:color w:val="000000"/>
        </w:rPr>
        <w:t>”</w:t>
      </w:r>
      <w:r>
        <w:rPr>
          <w:rFonts w:ascii="Times New Roman" w:hAnsi="Times New Roman"/>
          <w:color w:val="000000"/>
          <w:sz w:val="22"/>
        </w:rPr>
        <w:t>) as set forth on Exhibit A hereto, as if Employee had remained continuously employed through such date.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4.3.2.</w:t>
      </w:r>
    </w:p>
    <w:p>
      <w:pPr>
        <w:pStyle w:val="TextBody"/>
        <w:bidi w:val="0"/>
        <w:jc w:val="both"/>
        <w:rPr>
          <w:rFonts w:ascii="Times New Roman" w:hAnsi="Times New Roman"/>
          <w:color w:val="000000"/>
          <w:sz w:val="22"/>
        </w:rPr>
      </w:pPr>
      <w:r>
        <w:rPr>
          <w:rFonts w:ascii="Times New Roman" w:hAnsi="Times New Roman"/>
          <w:color w:val="000000"/>
          <w:sz w:val="22"/>
        </w:rPr>
        <w:t>In the event Employee breaches any provision of this Agreement or the CAIA at any time, then, in addition to any other remedies available to the Company: (i) all unvested equity awards (including any awards eligible for continued vesting under Section 4.3.3) shall immediately and automatically be forfeited and cancelled for no consideration, and (ii) any portion of equity awards that vested pursuant to Section 4.3.3 following the Termination Date but prior to such breach may, to the extent permitted by applicable law and the governing equity plan, be subject to forfeiture, recoupment, or clawback.</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4.3.3.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Effective immediately as of the expiration of the recission period provided under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7:670b section 2 DCC without recission by the Employee, any portion of Employee’s outstanding equity awards that is not scheduled to vest on or before the Final Vesting Date shall be, and hereby is, automatically and irrevocably forfeited and cancelled for no consideration.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4.3.4.</w:t>
      </w:r>
    </w:p>
    <w:p>
      <w:pPr>
        <w:pStyle w:val="TextBody"/>
        <w:bidi w:val="0"/>
        <w:jc w:val="both"/>
        <w:rPr/>
      </w:pPr>
      <w:r>
        <w:rPr>
          <w:rFonts w:ascii="Times New Roman" w:hAnsi="Times New Roman"/>
          <w:color w:val="000000"/>
          <w:sz w:val="22"/>
        </w:rPr>
        <w:t>Any stock options (or similar rights) held by Employee that are vested as of the Final Vesting Date (including those that vest pursuant to Section 4.3.1, subject to continued compliance) shall remain exercisable until 10 February 2027 (the “</w:t>
      </w:r>
      <w:r>
        <w:rPr>
          <w:rFonts w:ascii="Times New Roman" w:hAnsi="Times New Roman"/>
          <w:b/>
          <w:color w:val="000000"/>
          <w:sz w:val="22"/>
        </w:rPr>
        <w:t>Option Exercise Deadline</w:t>
      </w:r>
      <w:r>
        <w:rPr>
          <w:color w:val="000000"/>
        </w:rPr>
        <w:t>”</w:t>
      </w:r>
      <w:r>
        <w:rPr>
          <w:rFonts w:ascii="Times New Roman" w:hAnsi="Times New Roman"/>
          <w:color w:val="000000"/>
          <w:sz w:val="22"/>
        </w:rPr>
        <w:t>), after which time such options shall expire and be of no further force or effect. All exercises must be in accordance with the applicable equity plan and award agreements.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4.3.5.</w:t>
      </w:r>
    </w:p>
    <w:p>
      <w:pPr>
        <w:pStyle w:val="TextBody"/>
        <w:bidi w:val="0"/>
        <w:jc w:val="both"/>
        <w:rPr>
          <w:rFonts w:ascii="Times New Roman" w:hAnsi="Times New Roman"/>
          <w:color w:val="000000"/>
          <w:sz w:val="22"/>
        </w:rPr>
      </w:pPr>
      <w:r>
        <w:rPr>
          <w:rFonts w:ascii="Times New Roman" w:hAnsi="Times New Roman"/>
          <w:color w:val="000000"/>
          <w:sz w:val="22"/>
        </w:rPr>
        <w:t>Except as expressly modified by this Section 4.3, all equity awards shall remain subject to the terms and conditions of the Company’s applicable equity incentive plan(s) and the individual award agreements, including provisions relating to exercise procedures, tax withholding, and clawback or recoupment policies.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Employee acknowledges that, except as expressly provided herein, no additional vesting, acceleration, or extension of exercisability shall occur following the Termination Date.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0"/>
        <w:jc w:val="both"/>
        <w:rPr/>
      </w:pPr>
      <w:r>
        <w:rPr>
          <w:rFonts w:ascii="Times New Roman" w:hAnsi="Times New Roman"/>
          <w:b/>
          <w:color w:val="000000"/>
          <w:sz w:val="22"/>
        </w:rPr>
        <w:t xml:space="preserve">Final statement of indebtedness </w:t>
        <w:br/>
      </w:r>
      <w:r>
        <w:rPr>
          <w:color w:val="000000"/>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5.1.</w:t>
      </w:r>
    </w:p>
    <w:p>
      <w:pPr>
        <w:pStyle w:val="TextBody"/>
        <w:bidi w:val="0"/>
        <w:jc w:val="both"/>
        <w:rPr/>
      </w:pPr>
      <w:r>
        <w:rPr>
          <w:rFonts w:ascii="Times New Roman" w:hAnsi="Times New Roman"/>
          <w:color w:val="000000"/>
          <w:sz w:val="22"/>
        </w:rPr>
        <w:t xml:space="preserve">The Employer shall draw up a final statement of indebtedness (in Dutch: </w:t>
      </w:r>
      <w:r>
        <w:rPr>
          <w:rFonts w:ascii="Times New Roman" w:hAnsi="Times New Roman"/>
          <w:i/>
          <w:color w:val="000000"/>
          <w:sz w:val="22"/>
        </w:rPr>
        <w:t>eindafrekening</w:t>
      </w:r>
      <w:r>
        <w:rPr>
          <w:rFonts w:ascii="Times New Roman" w:hAnsi="Times New Roman"/>
          <w:color w:val="000000"/>
          <w:sz w:val="22"/>
        </w:rPr>
        <w:t>)</w:t>
      </w:r>
      <w:r>
        <w:rPr>
          <w:color w:val="000000"/>
        </w:rPr>
        <w:t xml:space="preserve"> </w:t>
      </w:r>
      <w:r>
        <w:rPr>
          <w:rFonts w:ascii="Times New Roman" w:hAnsi="Times New Roman"/>
          <w:color w:val="000000"/>
          <w:sz w:val="22"/>
        </w:rPr>
        <w:t>in connection with the termination of the Employment Agreement. The final statement shall include the Employee's accrued pro rata holiday allowance (if any).</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5.2.</w:t>
      </w:r>
    </w:p>
    <w:p>
      <w:pPr>
        <w:pStyle w:val="TextBody"/>
        <w:bidi w:val="0"/>
        <w:jc w:val="both"/>
        <w:rPr>
          <w:rFonts w:ascii="Times New Roman" w:hAnsi="Times New Roman"/>
          <w:color w:val="000000"/>
          <w:sz w:val="22"/>
        </w:rPr>
      </w:pPr>
      <w:r>
        <w:rPr>
          <w:rFonts w:ascii="Times New Roman" w:hAnsi="Times New Roman"/>
          <w:color w:val="000000"/>
          <w:sz w:val="22"/>
        </w:rPr>
        <w:t>The final statement shall also include the balance of outstanding and to be redeemed days of holiday as accrued until the Termination Date, which shall be paid out to the Employee.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5.3.</w:t>
      </w:r>
    </w:p>
    <w:p>
      <w:pPr>
        <w:pStyle w:val="TextBody"/>
        <w:bidi w:val="0"/>
        <w:jc w:val="both"/>
        <w:rPr/>
      </w:pPr>
      <w:r>
        <w:rPr>
          <w:rFonts w:ascii="Times New Roman" w:hAnsi="Times New Roman"/>
          <w:color w:val="000000"/>
          <w:sz w:val="22"/>
        </w:rPr>
        <w:t xml:space="preserve">The Employer shall pay any outstanding amounts under the final statement of indebtedness as referred to in this section 5, under withholding of wage tax (in Dutch: </w:t>
      </w:r>
      <w:r>
        <w:rPr>
          <w:rFonts w:ascii="Times New Roman" w:hAnsi="Times New Roman"/>
          <w:i/>
          <w:color w:val="000000"/>
          <w:sz w:val="22"/>
        </w:rPr>
        <w:t>loonbelasting</w:t>
      </w:r>
      <w:r>
        <w:rPr>
          <w:rFonts w:ascii="Times New Roman" w:hAnsi="Times New Roman"/>
          <w:color w:val="000000"/>
          <w:sz w:val="22"/>
        </w:rPr>
        <w:t>)</w:t>
      </w:r>
      <w:r>
        <w:rPr>
          <w:color w:val="000000"/>
        </w:rPr>
        <w:t xml:space="preserve"> </w:t>
      </w:r>
      <w:r>
        <w:rPr>
          <w:rFonts w:ascii="Times New Roman" w:hAnsi="Times New Roman"/>
          <w:color w:val="000000"/>
          <w:sz w:val="22"/>
        </w:rPr>
        <w:t xml:space="preserve">and social premiums (in Dutch: </w:t>
      </w:r>
      <w:r>
        <w:rPr>
          <w:rFonts w:ascii="Times New Roman" w:hAnsi="Times New Roman"/>
          <w:i/>
          <w:color w:val="000000"/>
          <w:sz w:val="22"/>
        </w:rPr>
        <w:t>sociale premies</w:t>
      </w:r>
      <w:r>
        <w:rPr>
          <w:rFonts w:ascii="Times New Roman" w:hAnsi="Times New Roman"/>
          <w:color w:val="000000"/>
          <w:sz w:val="22"/>
        </w:rPr>
        <w:t xml:space="preserve">), if applicable, within 4 weeks after the Termination Date by wire transfer to the Employee's regular salary account.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5.4.</w:t>
      </w:r>
    </w:p>
    <w:p>
      <w:pPr>
        <w:pStyle w:val="TextBody"/>
        <w:bidi w:val="0"/>
        <w:jc w:val="both"/>
        <w:rPr>
          <w:rFonts w:ascii="Times New Roman" w:hAnsi="Times New Roman"/>
          <w:color w:val="000000"/>
          <w:sz w:val="22"/>
        </w:rPr>
      </w:pPr>
      <w:r>
        <w:rPr>
          <w:rFonts w:ascii="Times New Roman" w:hAnsi="Times New Roman"/>
          <w:color w:val="000000"/>
          <w:sz w:val="22"/>
        </w:rPr>
        <w:t xml:space="preserve">The Employee's participation in any collective insurances taken out by the Employer for the benefit of the Employee will cease immediately following the Termination Date.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0"/>
        <w:jc w:val="both"/>
        <w:rPr/>
      </w:pPr>
      <w:r>
        <w:rPr>
          <w:rFonts w:ascii="Times New Roman" w:hAnsi="Times New Roman"/>
          <w:b/>
          <w:color w:val="000000"/>
          <w:sz w:val="22"/>
        </w:rPr>
        <w:t xml:space="preserve">Legal costs </w:t>
        <w:br/>
      </w:r>
      <w:r>
        <w:rPr>
          <w:color w:val="000000"/>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In the event the Employee is not entitled to legal assistance by virtue of her membership of a trade union or legal expenses insurance policy, the Employer will contribute to the costs of legal assistance of the Employee in connection with the entering into of this Agreement up to a maximum of EUR 1,500, including office costs and including VAT, after receipt of a proper invoice.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6.2.</w:t>
      </w:r>
    </w:p>
    <w:p>
      <w:pPr>
        <w:pStyle w:val="TextBody"/>
        <w:bidi w:val="0"/>
        <w:jc w:val="both"/>
        <w:rPr>
          <w:rFonts w:ascii="Times New Roman" w:hAnsi="Times New Roman"/>
          <w:color w:val="000000"/>
          <w:sz w:val="22"/>
        </w:rPr>
      </w:pPr>
      <w:r>
        <w:rPr>
          <w:rFonts w:ascii="Times New Roman" w:hAnsi="Times New Roman"/>
          <w:color w:val="000000"/>
          <w:sz w:val="22"/>
        </w:rPr>
        <w:t>The Employee can submit the invoice she has paid for legal assistance to the Employer through the regular expense claim procedure. The Employer will reimburse the Employee for these costs up to the maximum amount as referred to in section 6.1 of this Agreement, within 1 (one) month after receipt of the invoice by wire transfer to the Employee's regular salary account. The Employee shall submit the invoice for legal assistance to the Employer no later than on the Termination Date. An invoice submitted by Employee after the Termination Date will not be reimbursed.</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0"/>
        <w:jc w:val="both"/>
        <w:rPr/>
      </w:pPr>
      <w:r>
        <w:rPr>
          <w:rFonts w:ascii="Times New Roman" w:hAnsi="Times New Roman"/>
          <w:b/>
          <w:color w:val="000000"/>
          <w:sz w:val="22"/>
        </w:rPr>
        <w:t xml:space="preserve">Company property | Expenses </w:t>
        <w:br/>
      </w:r>
      <w:r>
        <w:rPr>
          <w:color w:val="000000"/>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7.1.</w:t>
      </w:r>
    </w:p>
    <w:p>
      <w:pPr>
        <w:pStyle w:val="TextBody"/>
        <w:bidi w:val="0"/>
        <w:jc w:val="both"/>
        <w:rPr>
          <w:rFonts w:ascii="Times New Roman" w:hAnsi="Times New Roman"/>
          <w:color w:val="000000"/>
          <w:sz w:val="22"/>
        </w:rPr>
      </w:pPr>
      <w:r>
        <w:rPr>
          <w:rFonts w:ascii="Times New Roman" w:hAnsi="Times New Roman"/>
          <w:color w:val="000000"/>
          <w:sz w:val="22"/>
        </w:rPr>
        <w:t>The Employee shall return all company property of the Employer as well as all documentation related to (the business) of the Employer on the Termination Date, including company properties such as access pass, keys, mobile phone, laptop and to the Employer related documents and information (such as business plans and strategies, budgets, (financial) reports, client lists, quotes, know-how), both in hard copy and on digital data carriers. The Employee shall not keep any copies of such documentation, with the exception of documents related to the Employment Agreement.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7.2.</w:t>
      </w:r>
    </w:p>
    <w:p>
      <w:pPr>
        <w:pStyle w:val="TextBody"/>
        <w:bidi w:val="0"/>
        <w:jc w:val="both"/>
        <w:rPr>
          <w:rFonts w:ascii="Times New Roman" w:hAnsi="Times New Roman"/>
          <w:color w:val="000000"/>
          <w:sz w:val="22"/>
        </w:rPr>
      </w:pPr>
      <w:r>
        <w:rPr>
          <w:rFonts w:ascii="Times New Roman" w:hAnsi="Times New Roman"/>
          <w:color w:val="000000"/>
          <w:sz w:val="22"/>
        </w:rPr>
        <w:t xml:space="preserve">Any business expenses by the Employee which qualify for reimbursement by the Employer according to the applicable policies, shall be submitted by the Employee to the Employer ultimately on the Termination Date. Any such expenses submitted after the Termination Date shall not be reimbursed.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0"/>
        <w:jc w:val="both"/>
        <w:rPr/>
      </w:pPr>
      <w:r>
        <w:rPr>
          <w:rFonts w:ascii="Times New Roman" w:hAnsi="Times New Roman"/>
          <w:b/>
          <w:color w:val="000000"/>
          <w:sz w:val="22"/>
        </w:rPr>
        <w:t>Letter of reference | Communications</w:t>
      </w:r>
      <w:r>
        <w:rPr>
          <w:color w:val="000000"/>
        </w:rPr>
        <w:t xml:space="preserve"> </w:t>
      </w:r>
      <w:r>
        <w:rPr>
          <w:rFonts w:ascii="Times New Roman" w:hAnsi="Times New Roman"/>
          <w:color w:val="000000"/>
          <w:sz w:val="22"/>
        </w:rPr>
        <w:br/>
      </w:r>
      <w:r>
        <w:rPr>
          <w:color w:val="000000"/>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8.1.</w:t>
      </w:r>
    </w:p>
    <w:p>
      <w:pPr>
        <w:pStyle w:val="TextBody"/>
        <w:bidi w:val="0"/>
        <w:jc w:val="both"/>
        <w:rPr/>
      </w:pPr>
      <w:r>
        <w:rPr>
          <w:rFonts w:ascii="Times New Roman" w:hAnsi="Times New Roman"/>
          <w:color w:val="000000"/>
          <w:sz w:val="22"/>
        </w:rPr>
        <w:t xml:space="preserve">Upon request, the Employer shall provide the Employee with a positive letter of reference (in Dutch: </w:t>
      </w:r>
      <w:r>
        <w:rPr>
          <w:rFonts w:ascii="Times New Roman" w:hAnsi="Times New Roman"/>
          <w:i/>
          <w:color w:val="000000"/>
          <w:sz w:val="22"/>
        </w:rPr>
        <w:t>getuigschrift</w:t>
      </w:r>
      <w:r>
        <w:rPr>
          <w:rFonts w:ascii="Times New Roman" w:hAnsi="Times New Roman"/>
          <w:color w:val="000000"/>
          <w:sz w:val="22"/>
        </w:rPr>
        <w:t>)</w:t>
      </w:r>
      <w:r>
        <w:rPr>
          <w:color w:val="000000"/>
        </w:rPr>
        <w:t xml:space="preserve"> </w:t>
      </w:r>
      <w:r>
        <w:rPr>
          <w:rFonts w:ascii="Times New Roman" w:hAnsi="Times New Roman"/>
          <w:color w:val="000000"/>
          <w:sz w:val="22"/>
        </w:rPr>
        <w:t xml:space="preserve">and will provide for positive references about the person and performance of the Employee, in accordance with the letter of reference. Maryellen McQuade will act as contact person for the Employer in this respect.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8.2.</w:t>
      </w:r>
    </w:p>
    <w:p>
      <w:pPr>
        <w:pStyle w:val="TextBody"/>
        <w:bidi w:val="0"/>
        <w:jc w:val="both"/>
        <w:rPr>
          <w:rFonts w:ascii="Times New Roman" w:hAnsi="Times New Roman"/>
          <w:color w:val="000000"/>
          <w:sz w:val="22"/>
        </w:rPr>
      </w:pPr>
      <w:r>
        <w:rPr>
          <w:rFonts w:ascii="Times New Roman" w:hAnsi="Times New Roman"/>
          <w:color w:val="000000"/>
          <w:sz w:val="22"/>
        </w:rPr>
        <w:t xml:space="preserve">If the Employee has a profile on LinkedIn and/or a similar website mentioning the Employer as the Employee's current employer, the Employee will change her profile accordingly no later than one day following Termination Date in such way that the Employer will no longer be mentioned as the current employer of the Employee.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9.</w:t>
      </w:r>
    </w:p>
    <w:p>
      <w:pPr>
        <w:pStyle w:val="TextBody"/>
        <w:bidi w:val="0"/>
        <w:jc w:val="both"/>
        <w:rPr>
          <w:rFonts w:ascii="Times New Roman" w:hAnsi="Times New Roman"/>
          <w:b/>
          <w:color w:val="000000"/>
          <w:sz w:val="22"/>
        </w:rPr>
      </w:pPr>
      <w:r>
        <w:rPr>
          <w:rFonts w:ascii="Times New Roman" w:hAnsi="Times New Roman"/>
          <w:b/>
          <w:color w:val="000000"/>
          <w:sz w:val="22"/>
        </w:rPr>
        <w:t>Post-contractual obligations | Confidentiality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0"/>
        <w:jc w:val="both"/>
        <w:rPr/>
      </w:pPr>
      <w:r>
        <w:rPr>
          <w:rFonts w:ascii="Times New Roman" w:hAnsi="Times New Roman"/>
          <w:color w:val="000000"/>
          <w:sz w:val="22"/>
        </w:rPr>
        <w:t xml:space="preserve">All post-contractual obligations as provided for in the Employment Agreement and in the CAIA, will remain in place. Without prejudice to those obligations, the Employee shall observe confidentiality with respect to all information, know-how and data relating to the Employer and its affiliates that is confidential and shall not use any of such information, know-how and data. </w:t>
        <w:br/>
      </w:r>
      <w:r>
        <w:rPr>
          <w:color w:val="000000"/>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9.2.</w:t>
      </w:r>
    </w:p>
    <w:p>
      <w:pPr>
        <w:pStyle w:val="TextBody"/>
        <w:bidi w:val="0"/>
        <w:jc w:val="both"/>
        <w:rPr>
          <w:rFonts w:ascii="Times New Roman" w:hAnsi="Times New Roman"/>
          <w:color w:val="000000"/>
          <w:sz w:val="22"/>
        </w:rPr>
      </w:pPr>
      <w:r>
        <w:rPr>
          <w:rFonts w:ascii="Times New Roman" w:hAnsi="Times New Roman"/>
          <w:color w:val="000000"/>
          <w:sz w:val="22"/>
        </w:rPr>
        <w:t xml:space="preserve">The Parties shall not disclose any information with respect to the content of this Agreement to third parties, with the exception of the Employee's spouse and/or her legal or fiscal advisors and in the event that a statutory or legal obligation to disclose such information exists.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9.3.</w:t>
      </w:r>
    </w:p>
    <w:p>
      <w:pPr>
        <w:pStyle w:val="TextBody"/>
        <w:bidi w:val="0"/>
        <w:jc w:val="both"/>
        <w:rPr>
          <w:rFonts w:ascii="Times New Roman" w:hAnsi="Times New Roman"/>
          <w:color w:val="000000"/>
          <w:sz w:val="22"/>
        </w:rPr>
      </w:pPr>
      <w:r>
        <w:rPr>
          <w:rFonts w:ascii="Times New Roman" w:hAnsi="Times New Roman"/>
          <w:color w:val="000000"/>
          <w:sz w:val="22"/>
        </w:rPr>
        <w:t xml:space="preserve">The Parties shall not make negative comments on each other and shall refrain from (co-operating with) any negative publication or communication made in the public domain with respect to each other. This includes (but is not limited to) negative statements made on social media, such as Facebook and Twitter/X.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w:t>
      </w:r>
    </w:p>
    <w:p>
      <w:pPr>
        <w:pStyle w:val="TextBody"/>
        <w:bidi w:val="0"/>
        <w:jc w:val="both"/>
        <w:rPr>
          <w:rFonts w:ascii="Times New Roman" w:hAnsi="Times New Roman"/>
          <w:b/>
          <w:color w:val="000000"/>
          <w:sz w:val="22"/>
        </w:rPr>
      </w:pPr>
      <w:r>
        <w:rPr>
          <w:rFonts w:ascii="Times New Roman" w:hAnsi="Times New Roman"/>
          <w:b/>
          <w:color w:val="000000"/>
          <w:sz w:val="22"/>
        </w:rPr>
        <w:t xml:space="preserve">No issues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Employee declares that she is not aware of any acts or circumstances that could have a materially adverse effect on the Employer and/or its affiliates or its business.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w:t>
      </w:r>
    </w:p>
    <w:p>
      <w:pPr>
        <w:pStyle w:val="TextBody"/>
        <w:bidi w:val="0"/>
        <w:jc w:val="both"/>
        <w:rPr>
          <w:rFonts w:ascii="Times New Roman" w:hAnsi="Times New Roman"/>
          <w:b/>
          <w:color w:val="000000"/>
          <w:sz w:val="22"/>
        </w:rPr>
      </w:pPr>
      <w:r>
        <w:rPr>
          <w:rFonts w:ascii="Times New Roman" w:hAnsi="Times New Roman"/>
          <w:b/>
          <w:color w:val="000000"/>
          <w:sz w:val="22"/>
        </w:rPr>
        <w:t xml:space="preserve">Discharge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Save for the rights and obligation that arise from this Agreement, the Parties grant each other full and final discharge (in Dutch: </w:t>
      </w:r>
      <w:r>
        <w:rPr>
          <w:rFonts w:ascii="Times New Roman" w:hAnsi="Times New Roman"/>
          <w:i/>
          <w:color w:val="000000"/>
          <w:sz w:val="22"/>
        </w:rPr>
        <w:t>finale kwijting</w:t>
      </w:r>
      <w:r>
        <w:rPr>
          <w:rFonts w:ascii="Times New Roman" w:hAnsi="Times New Roman"/>
          <w:color w:val="000000"/>
          <w:sz w:val="22"/>
        </w:rPr>
        <w:t xml:space="preserve">) with respect to the Employment Agreement as well as the termination thereof, including the termination of all functions of the Employee. The Parties recognise and confirm that save for the arrangements laid down in this Agreement, no other agreements, (option) rights, claims and/or arrangements exist anymore, at least that any such agreements, claims and/or arrangements will be waived and nullified by this Agreement, which means to regulate and cover all possible arrangements between the Parties, with a view to pursue a termination of the Employment Agreement exhaustively.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12.</w:t>
      </w:r>
    </w:p>
    <w:p>
      <w:pPr>
        <w:pStyle w:val="TextBody"/>
        <w:bidi w:val="0"/>
        <w:jc w:val="both"/>
        <w:rPr>
          <w:rFonts w:ascii="Times New Roman" w:hAnsi="Times New Roman"/>
          <w:b/>
          <w:color w:val="000000"/>
          <w:sz w:val="22"/>
        </w:rPr>
      </w:pPr>
      <w:r>
        <w:rPr>
          <w:rFonts w:ascii="Times New Roman" w:hAnsi="Times New Roman"/>
          <w:b/>
          <w:color w:val="000000"/>
          <w:sz w:val="22"/>
        </w:rPr>
        <w:t>Declaration of legal consequences; waiver of right to annulment and dissolution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The Employee declares that she is fully aware of the legal and other consequences of signing this settlement agreement and of the fact that the Employer cannot give any guarantees with regard to the granting of any benefit pursuant to social security legislation. A possible refusal of a benefit, or a reduction of a benefit, will not affect the validity of this settlement agreement.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12.2.</w:t>
      </w:r>
    </w:p>
    <w:p>
      <w:pPr>
        <w:pStyle w:val="TextBody"/>
        <w:bidi w:val="0"/>
        <w:jc w:val="both"/>
        <w:rPr>
          <w:rFonts w:ascii="Times New Roman" w:hAnsi="Times New Roman"/>
          <w:color w:val="000000"/>
          <w:sz w:val="22"/>
        </w:rPr>
      </w:pPr>
      <w:r>
        <w:rPr>
          <w:rFonts w:ascii="Times New Roman" w:hAnsi="Times New Roman"/>
          <w:color w:val="000000"/>
          <w:sz w:val="22"/>
        </w:rPr>
        <w:t>The Employee declares that at the time of signing this agreement, she has neither accepted another job nor has any firm prospects of doing so. If it appears at any time that this declaration is incorrect, the Employee will forfeit her right to the severance payment as referred to in section 3.1 of this Agreement. and, if already paid by the Employer, the Employee is obliged to immediately repay the severance payment to the Employer.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12.3.</w:t>
      </w:r>
    </w:p>
    <w:p>
      <w:pPr>
        <w:pStyle w:val="TextBody"/>
        <w:bidi w:val="0"/>
        <w:jc w:val="both"/>
        <w:rPr/>
      </w:pPr>
      <w:r>
        <w:rPr>
          <w:rFonts w:ascii="Times New Roman" w:hAnsi="Times New Roman"/>
          <w:color w:val="000000"/>
          <w:sz w:val="22"/>
        </w:rPr>
        <w:t xml:space="preserve">Without the Employee's right pursuant to article 7:670b sub 2 DCC as mentioned below, the Parties hereby waive, to the extent permitted by law, their rights under articles 6:265 to 6:272 inclusive DCC to rescind (in Dutch: </w:t>
      </w:r>
      <w:r>
        <w:rPr>
          <w:rFonts w:ascii="Times New Roman" w:hAnsi="Times New Roman"/>
          <w:i/>
          <w:color w:val="000000"/>
          <w:sz w:val="22"/>
        </w:rPr>
        <w:t>ontbinden</w:t>
      </w:r>
      <w:r>
        <w:rPr>
          <w:rFonts w:ascii="Times New Roman" w:hAnsi="Times New Roman"/>
          <w:color w:val="000000"/>
          <w:sz w:val="22"/>
        </w:rPr>
        <w:t xml:space="preserve">), or demand in legal proceedings the rescission (in Dutch: </w:t>
      </w:r>
      <w:r>
        <w:rPr>
          <w:rFonts w:ascii="Times New Roman" w:hAnsi="Times New Roman"/>
          <w:i/>
          <w:color w:val="000000"/>
          <w:sz w:val="22"/>
        </w:rPr>
        <w:t>ontbinding</w:t>
      </w:r>
      <w:r>
        <w:rPr>
          <w:rFonts w:ascii="Times New Roman" w:hAnsi="Times New Roman"/>
          <w:color w:val="000000"/>
          <w:sz w:val="22"/>
        </w:rPr>
        <w:t xml:space="preserve">) of this Agreement on the grounds of breach (in Dutch: </w:t>
      </w:r>
      <w:r>
        <w:rPr>
          <w:rFonts w:ascii="Times New Roman" w:hAnsi="Times New Roman"/>
          <w:i/>
          <w:color w:val="000000"/>
          <w:sz w:val="22"/>
        </w:rPr>
        <w:t>toerekenbare tekortkoming</w:t>
      </w:r>
      <w:r>
        <w:rPr>
          <w:rFonts w:ascii="Times New Roman" w:hAnsi="Times New Roman"/>
          <w:color w:val="000000"/>
          <w:sz w:val="22"/>
        </w:rPr>
        <w:t xml:space="preserve">) or error (in Dutch: </w:t>
      </w:r>
      <w:r>
        <w:rPr>
          <w:rFonts w:ascii="Times New Roman" w:hAnsi="Times New Roman"/>
          <w:i/>
          <w:color w:val="000000"/>
          <w:sz w:val="22"/>
        </w:rPr>
        <w:t>dwaling</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w:t>
      </w:r>
    </w:p>
    <w:p>
      <w:pPr>
        <w:pStyle w:val="TextBody"/>
        <w:bidi w:val="0"/>
        <w:jc w:val="both"/>
        <w:rPr>
          <w:rFonts w:ascii="Times New Roman" w:hAnsi="Times New Roman"/>
          <w:b/>
          <w:color w:val="000000"/>
          <w:sz w:val="22"/>
        </w:rPr>
      </w:pPr>
      <w:r>
        <w:rPr>
          <w:rFonts w:ascii="Times New Roman" w:hAnsi="Times New Roman"/>
          <w:b/>
          <w:color w:val="000000"/>
          <w:sz w:val="22"/>
        </w:rPr>
        <w:t xml:space="preserve">Partial invalidity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the event that an article of this Agreement is invalid, illegal, not binding, or unenforceable (either in whole or in part), the remainder of the Agreement shall continue to be effective to the extent that, in view of this Agreement's substance and purpose, such remainder is not inextricably related to and therefore in severable from the invalid, illegal, not binding or unenforceable provision. The Parties shall make every effort to reach agreement on a new respective article which differs as little as possible from the invalid, illegal, not binding or unenforceable article, taking into account the substance and purpose of this Agreement.</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w:t>
      </w:r>
    </w:p>
    <w:p>
      <w:pPr>
        <w:pStyle w:val="TextBody"/>
        <w:bidi w:val="0"/>
        <w:jc w:val="both"/>
        <w:rPr>
          <w:rFonts w:ascii="Times New Roman" w:hAnsi="Times New Roman"/>
          <w:b/>
          <w:color w:val="000000"/>
          <w:sz w:val="22"/>
        </w:rPr>
      </w:pPr>
      <w:r>
        <w:rPr>
          <w:rFonts w:ascii="Times New Roman" w:hAnsi="Times New Roman"/>
          <w:b/>
          <w:color w:val="000000"/>
          <w:sz w:val="22"/>
        </w:rPr>
        <w:t xml:space="preserve">Settlement agreement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This Agreement is considered to be a settlement agreement (in Dutch: </w:t>
      </w:r>
      <w:r>
        <w:rPr>
          <w:rFonts w:ascii="Times New Roman" w:hAnsi="Times New Roman"/>
          <w:i/>
          <w:color w:val="000000"/>
          <w:sz w:val="22"/>
        </w:rPr>
        <w:t>vaststellingsovereen-komst</w:t>
      </w:r>
      <w:r>
        <w:rPr>
          <w:rFonts w:ascii="Times New Roman" w:hAnsi="Times New Roman"/>
          <w:color w:val="000000"/>
          <w:sz w:val="22"/>
        </w:rPr>
        <w:t>) within the meaning of article 7:900 DCC.</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w:t>
      </w:r>
    </w:p>
    <w:p>
      <w:pPr>
        <w:pStyle w:val="TextBody"/>
        <w:bidi w:val="0"/>
        <w:jc w:val="both"/>
        <w:rPr>
          <w:rFonts w:ascii="Times New Roman" w:hAnsi="Times New Roman"/>
          <w:b/>
          <w:color w:val="000000"/>
          <w:sz w:val="22"/>
        </w:rPr>
      </w:pPr>
      <w:r>
        <w:rPr>
          <w:rFonts w:ascii="Times New Roman" w:hAnsi="Times New Roman"/>
          <w:b/>
          <w:color w:val="000000"/>
          <w:sz w:val="22"/>
        </w:rPr>
        <w:t xml:space="preserve">Entire Agreement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15.1.</w:t>
      </w:r>
    </w:p>
    <w:p>
      <w:pPr>
        <w:pStyle w:val="TextBody"/>
        <w:bidi w:val="0"/>
        <w:jc w:val="both"/>
        <w:rPr>
          <w:rFonts w:ascii="Times New Roman" w:hAnsi="Times New Roman"/>
          <w:color w:val="000000"/>
          <w:sz w:val="22"/>
        </w:rPr>
      </w:pPr>
      <w:r>
        <w:rPr>
          <w:rFonts w:ascii="Times New Roman" w:hAnsi="Times New Roman"/>
          <w:color w:val="000000"/>
          <w:sz w:val="22"/>
        </w:rPr>
        <w:t xml:space="preserve">This Agreement embodies the entire agreement and understanding of the Parties with respect to the subject matter hereof and supersedes all prior agreements and understandings, oral or written, relative to said subject matter.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15.2.</w:t>
      </w:r>
    </w:p>
    <w:p>
      <w:pPr>
        <w:pStyle w:val="TextBody"/>
        <w:bidi w:val="0"/>
        <w:jc w:val="both"/>
        <w:rPr>
          <w:rFonts w:ascii="Times New Roman" w:hAnsi="Times New Roman"/>
          <w:color w:val="000000"/>
          <w:sz w:val="22"/>
        </w:rPr>
      </w:pPr>
      <w:r>
        <w:rPr>
          <w:rFonts w:ascii="Times New Roman" w:hAnsi="Times New Roman"/>
          <w:color w:val="000000"/>
          <w:sz w:val="22"/>
        </w:rPr>
        <w:t xml:space="preserve">This Agreement may only be amended in writing and such amendment signed by each of the Parties.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16.</w:t>
      </w:r>
    </w:p>
    <w:p>
      <w:pPr>
        <w:pStyle w:val="TextBody"/>
        <w:bidi w:val="0"/>
        <w:jc w:val="both"/>
        <w:rPr>
          <w:rFonts w:ascii="Times New Roman" w:hAnsi="Times New Roman"/>
          <w:b/>
          <w:color w:val="000000"/>
          <w:sz w:val="22"/>
        </w:rPr>
      </w:pPr>
      <w:r>
        <w:rPr>
          <w:rFonts w:ascii="Times New Roman" w:hAnsi="Times New Roman"/>
          <w:b/>
          <w:color w:val="000000"/>
          <w:sz w:val="22"/>
        </w:rPr>
        <w:t>Governing law and competent court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16.1.</w:t>
      </w:r>
    </w:p>
    <w:p>
      <w:pPr>
        <w:pStyle w:val="TextBody"/>
        <w:bidi w:val="0"/>
        <w:jc w:val="both"/>
        <w:rPr>
          <w:rFonts w:ascii="Times New Roman" w:hAnsi="Times New Roman"/>
          <w:color w:val="000000"/>
          <w:sz w:val="22"/>
        </w:rPr>
      </w:pPr>
      <w:r>
        <w:rPr>
          <w:rFonts w:ascii="Times New Roman" w:hAnsi="Times New Roman"/>
          <w:color w:val="000000"/>
          <w:sz w:val="22"/>
        </w:rPr>
        <w:t>This Agreement shall be governed by and construed in accordance with the laws of the Netherlands.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16.2.</w:t>
      </w:r>
    </w:p>
    <w:p>
      <w:pPr>
        <w:pStyle w:val="TextBody"/>
        <w:bidi w:val="0"/>
        <w:jc w:val="both"/>
        <w:rPr>
          <w:rFonts w:ascii="Times New Roman" w:hAnsi="Times New Roman"/>
          <w:color w:val="000000"/>
          <w:sz w:val="22"/>
        </w:rPr>
      </w:pPr>
      <w:r>
        <w:rPr>
          <w:rFonts w:ascii="Times New Roman" w:hAnsi="Times New Roman"/>
          <w:color w:val="000000"/>
          <w:sz w:val="22"/>
        </w:rPr>
        <w:t>Any dispute in connection with this Agreement shall finally be settled before the competent court of Amsterdam, the Netherlands.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Pursuant to article 7:670b section 2 DCC the Employee has the right to rescind (in Dutch: </w:t>
      </w:r>
      <w:r>
        <w:rPr>
          <w:rFonts w:ascii="Times New Roman" w:hAnsi="Times New Roman"/>
          <w:i/>
          <w:color w:val="000000"/>
          <w:sz w:val="22"/>
        </w:rPr>
        <w:t>ontbinden</w:t>
      </w:r>
      <w:r>
        <w:rPr>
          <w:rFonts w:ascii="Times New Roman" w:hAnsi="Times New Roman"/>
          <w:color w:val="000000"/>
          <w:sz w:val="22"/>
        </w:rPr>
        <w:t xml:space="preserve">) this agreement without giving reasons (in Dutch: </w:t>
      </w:r>
      <w:r>
        <w:rPr>
          <w:rFonts w:ascii="Times New Roman" w:hAnsi="Times New Roman"/>
          <w:i/>
          <w:color w:val="000000"/>
          <w:sz w:val="22"/>
        </w:rPr>
        <w:t>zonder opgaaf van redenen</w:t>
      </w:r>
      <w:r>
        <w:rPr>
          <w:rFonts w:ascii="Times New Roman" w:hAnsi="Times New Roman"/>
          <w:color w:val="000000"/>
          <w:sz w:val="22"/>
        </w:rPr>
        <w:t>) by means of a written statement to that effect addressed to the Employer, within 14 (fourteen) days after the date of this Agreement.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Agreement may be executed in any number of counterparts, each of which will be deemed an original and all of which together shall constitute one and the same instrument.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Thus agreed,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/s/ Michael Davidson</w:t>
      </w:r>
      <w:r>
        <w:rPr>
          <w:rFonts w:ascii="Times New Roman" w:hAnsi="Times New Roman"/>
          <w:color w:val="000000"/>
          <w:sz w:val="22"/>
        </w:rPr>
        <w:t xml:space="preserve">______________________ </w:t>
      </w:r>
    </w:p>
    <w:p>
      <w:pPr>
        <w:pStyle w:val="TextBody"/>
        <w:bidi w:val="0"/>
        <w:jc w:val="both"/>
        <w:rPr>
          <w:rFonts w:ascii="Times New Roman" w:hAnsi="Times New Roman"/>
          <w:sz w:val="20"/>
        </w:rPr>
      </w:pPr>
      <w:r>
        <w:rPr>
          <w:rFonts w:ascii="Times New Roman" w:hAnsi="Times New Roman"/>
          <w:b/>
          <w:color w:val="000000"/>
          <w:sz w:val="22"/>
        </w:rPr>
        <w:t>NewAmsterdam Pharma Company N.V.</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 xml:space="preserve">By: Michael Davidson </w:t>
      </w:r>
    </w:p>
    <w:p>
      <w:pPr>
        <w:pStyle w:val="TextBody"/>
        <w:bidi w:val="0"/>
        <w:jc w:val="both"/>
        <w:rPr>
          <w:rFonts w:ascii="Times New Roman" w:hAnsi="Times New Roman"/>
          <w:sz w:val="20"/>
        </w:rPr>
      </w:pPr>
      <w:r>
        <w:rPr>
          <w:rFonts w:ascii="Times New Roman" w:hAnsi="Times New Roman"/>
          <w:color w:val="000000"/>
          <w:sz w:val="22"/>
        </w:rPr>
        <w:t>Position: Chief Executive Officer, Executive Director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_/s/ Louise Kooij</w:t>
      </w:r>
      <w:r>
        <w:rPr>
          <w:rFonts w:ascii="Times New Roman" w:hAnsi="Times New Roman"/>
          <w:color w:val="000000"/>
          <w:sz w:val="22"/>
        </w:rPr>
        <w:t xml:space="preserve">_______________________ </w:t>
      </w:r>
    </w:p>
    <w:p>
      <w:pPr>
        <w:pStyle w:val="TextBody"/>
        <w:bidi w:val="0"/>
        <w:jc w:val="both"/>
        <w:rPr>
          <w:rFonts w:ascii="Times New Roman" w:hAnsi="Times New Roman"/>
          <w:b/>
          <w:color w:val="000000"/>
          <w:sz w:val="22"/>
        </w:rPr>
      </w:pPr>
      <w:r>
        <w:rPr>
          <w:rFonts w:ascii="Times New Roman" w:hAnsi="Times New Roman"/>
          <w:b/>
          <w:color w:val="000000"/>
          <w:sz w:val="22"/>
        </w:rPr>
        <w:t>Louise Kooij</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A</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nams-ex31_1.htm"/>
      <w:bookmarkStart w:id="25" w:name="ksnams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Davidson,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NewAmsterdam Pharma Company N.V.;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Davidson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Davidson,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nams-ex31_2.htm"/>
      <w:bookmarkStart w:id="27" w:name="ksnams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Ian Somaiya,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NewAmsterdam Pharma Company N.V.;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Ian Somaiya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Ian Somaiya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nams-ex32_1.htm"/>
      <w:bookmarkStart w:id="29" w:name="ksnams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NewAmsterdam Pharma Company N.V.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Davidson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Davidson,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nams-ex32_2.htm"/>
      <w:bookmarkStart w:id="31" w:name="ksnams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NewAmsterdam Pharma Company N.V.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Ian Somaiya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Ian Somaiya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6258/000119312522293435/d395531dex11.htm" TargetMode="External"/><Relationship Id="rId3" Type="http://schemas.openxmlformats.org/officeDocument/2006/relationships/hyperlink" Target="https://www.sec.gov/Archives/edgar/data/1936258/000119312526254615/nams-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25119</Words>
  <Characters>138835</Characters>
  <CharactersWithSpaces>164895</CharactersWithSpaces>
  <Paragraphs>4784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